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0C" w:rsidRPr="00E90CEF" w:rsidRDefault="00891B0C" w:rsidP="00891B0C">
      <w:pPr>
        <w:pBdr>
          <w:bottom w:val="single" w:sz="4" w:space="1" w:color="auto"/>
        </w:pBdr>
        <w:rPr>
          <w:rFonts w:ascii="Tw Cen MT" w:hAnsi="Tw Cen MT" w:cs="Utsaah"/>
          <w:b/>
          <w:sz w:val="20"/>
        </w:rPr>
      </w:pPr>
      <w:r w:rsidRPr="00E90CEF">
        <w:rPr>
          <w:rFonts w:ascii="Tw Cen MT" w:hAnsi="Tw Cen MT" w:cs="Utsaah"/>
          <w:b/>
          <w:sz w:val="20"/>
        </w:rPr>
        <w:t>B</w:t>
      </w:r>
      <w:r w:rsidR="00E90CEF" w:rsidRPr="00E90CEF">
        <w:rPr>
          <w:rFonts w:ascii="Tw Cen MT" w:hAnsi="Tw Cen MT" w:cs="Utsaah"/>
          <w:b/>
          <w:sz w:val="20"/>
        </w:rPr>
        <w:t>rede context</w:t>
      </w:r>
      <w:r w:rsidRPr="00E90CEF">
        <w:rPr>
          <w:rFonts w:ascii="Tw Cen MT" w:hAnsi="Tw Cen MT" w:cs="Utsaah"/>
          <w:b/>
          <w:sz w:val="20"/>
        </w:rPr>
        <w:t>:</w:t>
      </w:r>
    </w:p>
    <w:p w:rsidR="00891B0C" w:rsidRPr="00E90CEF" w:rsidRDefault="00891B0C" w:rsidP="00EA561E">
      <w:pPr>
        <w:rPr>
          <w:rFonts w:ascii="Tw Cen MT" w:hAnsi="Tw Cen MT" w:cs="Utsaah"/>
          <w:sz w:val="20"/>
        </w:rPr>
      </w:pPr>
      <w:proofErr w:type="spellStart"/>
      <w:r w:rsidRPr="00E90CEF">
        <w:rPr>
          <w:rFonts w:ascii="Tw Cen MT" w:hAnsi="Tw Cen MT" w:cs="Utsaah"/>
          <w:sz w:val="20"/>
        </w:rPr>
        <w:t>Aisa</w:t>
      </w:r>
      <w:proofErr w:type="spellEnd"/>
      <w:r w:rsidRPr="00E90CEF">
        <w:rPr>
          <w:rFonts w:ascii="Tw Cen MT" w:hAnsi="Tw Cen MT" w:cs="Utsaah"/>
          <w:sz w:val="20"/>
        </w:rPr>
        <w:t>:</w:t>
      </w:r>
    </w:p>
    <w:p w:rsidR="00891B0C" w:rsidRPr="00E90CEF" w:rsidRDefault="00891B0C" w:rsidP="00891B0C">
      <w:pPr>
        <w:pStyle w:val="ListBullet"/>
        <w:rPr>
          <w:rFonts w:ascii="Tw Cen MT" w:hAnsi="Tw Cen MT" w:cs="Utsaah"/>
          <w:sz w:val="20"/>
        </w:rPr>
      </w:pPr>
      <w:proofErr w:type="gramStart"/>
      <w:r w:rsidRPr="00E90CEF">
        <w:rPr>
          <w:rFonts w:ascii="Tw Cen MT" w:hAnsi="Tw Cen MT" w:cs="Utsaah"/>
          <w:sz w:val="20"/>
        </w:rPr>
        <w:t>there</w:t>
      </w:r>
      <w:proofErr w:type="gramEnd"/>
      <w:r w:rsidRPr="00E90CEF">
        <w:rPr>
          <w:rFonts w:ascii="Tw Cen MT" w:hAnsi="Tw Cen MT" w:cs="Utsaah"/>
          <w:sz w:val="20"/>
        </w:rPr>
        <w:t xml:space="preserve"> is an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>increasing evidence implicating stress in brain disturbances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 xml:space="preserve">thought to underlie certain forms of </w:t>
      </w:r>
      <w:r w:rsidRPr="00E90CEF">
        <w:rPr>
          <w:rFonts w:ascii="Tw Cen MT" w:hAnsi="Tw Cen MT" w:cs="Utsaah"/>
          <w:sz w:val="20"/>
          <w:highlight w:val="yellow"/>
        </w:rPr>
        <w:t>depression</w:t>
      </w:r>
      <w:r w:rsidRPr="00E90CEF">
        <w:rPr>
          <w:rFonts w:ascii="Tw Cen MT" w:hAnsi="Tw Cen MT" w:cs="Utsaah"/>
          <w:sz w:val="20"/>
        </w:rPr>
        <w:t xml:space="preserve"> or particular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>components of the depressive syndrome (Kessler, 1997;</w:t>
      </w:r>
      <w:r w:rsidRPr="00E90CEF">
        <w:rPr>
          <w:rFonts w:ascii="Tw Cen MT" w:hAnsi="Tw Cen MT" w:cs="Utsaah"/>
          <w:sz w:val="20"/>
        </w:rPr>
        <w:t xml:space="preserve"> </w:t>
      </w:r>
      <w:proofErr w:type="spellStart"/>
      <w:r w:rsidRPr="00E90CEF">
        <w:rPr>
          <w:rFonts w:ascii="Tw Cen MT" w:hAnsi="Tw Cen MT" w:cs="Utsaah"/>
          <w:sz w:val="20"/>
        </w:rPr>
        <w:t>Kendler</w:t>
      </w:r>
      <w:proofErr w:type="spellEnd"/>
      <w:r w:rsidRPr="00E90CEF">
        <w:rPr>
          <w:rFonts w:ascii="Tw Cen MT" w:hAnsi="Tw Cen MT" w:cs="Utsaah"/>
          <w:sz w:val="20"/>
        </w:rPr>
        <w:t xml:space="preserve"> et al., 1999; Van </w:t>
      </w:r>
      <w:proofErr w:type="spellStart"/>
      <w:r w:rsidRPr="00E90CEF">
        <w:rPr>
          <w:rFonts w:ascii="Tw Cen MT" w:hAnsi="Tw Cen MT" w:cs="Utsaah"/>
          <w:sz w:val="20"/>
        </w:rPr>
        <w:t>Praag</w:t>
      </w:r>
      <w:proofErr w:type="spellEnd"/>
      <w:r w:rsidRPr="00E90CEF">
        <w:rPr>
          <w:rFonts w:ascii="Tw Cen MT" w:hAnsi="Tw Cen MT" w:cs="Utsaah"/>
          <w:sz w:val="20"/>
        </w:rPr>
        <w:t>, 2004).</w:t>
      </w:r>
    </w:p>
    <w:p w:rsidR="00891B0C" w:rsidRPr="00E90CEF" w:rsidRDefault="00891B0C" w:rsidP="00891B0C">
      <w:pPr>
        <w:pStyle w:val="ListBullet"/>
        <w:rPr>
          <w:rFonts w:ascii="Tw Cen MT" w:hAnsi="Tw Cen MT" w:cs="Utsaah"/>
          <w:sz w:val="20"/>
        </w:rPr>
      </w:pPr>
      <w:r w:rsidRPr="00E90CEF">
        <w:rPr>
          <w:rFonts w:ascii="Tw Cen MT" w:hAnsi="Tw Cen MT" w:cs="Utsaah"/>
          <w:sz w:val="20"/>
        </w:rPr>
        <w:t>There are important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  <w:highlight w:val="yellow"/>
        </w:rPr>
        <w:t>memory disturbances</w:t>
      </w:r>
      <w:r w:rsidRPr="00E90CEF">
        <w:rPr>
          <w:rFonts w:ascii="Tw Cen MT" w:hAnsi="Tw Cen MT" w:cs="Utsaah"/>
          <w:sz w:val="20"/>
        </w:rPr>
        <w:t xml:space="preserve"> in stress-related psychiatric disorders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>(</w:t>
      </w:r>
      <w:proofErr w:type="spellStart"/>
      <w:r w:rsidRPr="00E90CEF">
        <w:rPr>
          <w:rFonts w:ascii="Tw Cen MT" w:hAnsi="Tw Cen MT" w:cs="Utsaah"/>
          <w:sz w:val="20"/>
        </w:rPr>
        <w:t>Bremner</w:t>
      </w:r>
      <w:proofErr w:type="spellEnd"/>
      <w:r w:rsidRPr="00E90CEF">
        <w:rPr>
          <w:rFonts w:ascii="Tw Cen MT" w:hAnsi="Tw Cen MT" w:cs="Utsaah"/>
          <w:sz w:val="20"/>
        </w:rPr>
        <w:t xml:space="preserve"> and Narayan, 1998; </w:t>
      </w:r>
      <w:proofErr w:type="spellStart"/>
      <w:r w:rsidRPr="00E90CEF">
        <w:rPr>
          <w:rFonts w:ascii="Tw Cen MT" w:hAnsi="Tw Cen MT" w:cs="Utsaah"/>
          <w:sz w:val="20"/>
        </w:rPr>
        <w:t>Bremner</w:t>
      </w:r>
      <w:proofErr w:type="spellEnd"/>
      <w:r w:rsidRPr="00E90CEF">
        <w:rPr>
          <w:rFonts w:ascii="Tw Cen MT" w:hAnsi="Tw Cen MT" w:cs="Utsaah"/>
          <w:sz w:val="20"/>
        </w:rPr>
        <w:t xml:space="preserve"> et al., 2003)</w:t>
      </w:r>
    </w:p>
    <w:p w:rsidR="00891B0C" w:rsidRPr="00E90CEF" w:rsidRDefault="00891B0C" w:rsidP="00891B0C">
      <w:pPr>
        <w:pStyle w:val="ListBullet"/>
        <w:rPr>
          <w:rFonts w:ascii="Tw Cen MT" w:hAnsi="Tw Cen MT" w:cs="Utsaah"/>
          <w:sz w:val="20"/>
        </w:rPr>
      </w:pPr>
      <w:r w:rsidRPr="00E90CEF">
        <w:rPr>
          <w:rFonts w:ascii="Tw Cen MT" w:hAnsi="Tw Cen MT" w:cs="Utsaah"/>
          <w:sz w:val="20"/>
        </w:rPr>
        <w:t>There is compelling evidence that exposure to early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>stressful adverse life events may increase vulnerability to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>psychopathology in adult life. In fact, individuals who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 xml:space="preserve">experience </w:t>
      </w:r>
      <w:r w:rsidRPr="00E90CEF">
        <w:rPr>
          <w:rFonts w:ascii="Tw Cen MT" w:hAnsi="Tw Cen MT" w:cs="Utsaah"/>
          <w:sz w:val="20"/>
          <w:highlight w:val="yellow"/>
        </w:rPr>
        <w:t>early trauma</w:t>
      </w:r>
      <w:r w:rsidRPr="00E90CEF">
        <w:rPr>
          <w:rFonts w:ascii="Tw Cen MT" w:hAnsi="Tw Cen MT" w:cs="Utsaah"/>
          <w:sz w:val="20"/>
        </w:rPr>
        <w:t>, such as parental loss, sexual</w:t>
      </w:r>
      <w:r w:rsidRPr="00E90CEF">
        <w:rPr>
          <w:rFonts w:ascii="Tw Cen MT" w:hAnsi="Tw Cen MT" w:cs="Utsaah"/>
          <w:sz w:val="20"/>
        </w:rPr>
        <w:t xml:space="preserve"> </w:t>
      </w:r>
      <w:proofErr w:type="gramStart"/>
      <w:r w:rsidRPr="00E90CEF">
        <w:rPr>
          <w:rFonts w:ascii="Tw Cen MT" w:hAnsi="Tw Cen MT" w:cs="Utsaah"/>
          <w:sz w:val="20"/>
        </w:rPr>
        <w:t>abuse</w:t>
      </w:r>
      <w:proofErr w:type="gramEnd"/>
      <w:r w:rsidRPr="00E90CEF">
        <w:rPr>
          <w:rFonts w:ascii="Tw Cen MT" w:hAnsi="Tw Cen MT" w:cs="Utsaah"/>
          <w:sz w:val="20"/>
        </w:rPr>
        <w:t xml:space="preserve"> or physical assault in childhood, present an increased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 xml:space="preserve">risk for suffering </w:t>
      </w:r>
      <w:r w:rsidRPr="00E90CEF">
        <w:rPr>
          <w:rFonts w:ascii="Tw Cen MT" w:hAnsi="Tw Cen MT" w:cs="Utsaah"/>
          <w:sz w:val="20"/>
          <w:highlight w:val="yellow"/>
        </w:rPr>
        <w:t>depression</w:t>
      </w:r>
      <w:r w:rsidRPr="00E90CEF">
        <w:rPr>
          <w:rFonts w:ascii="Tw Cen MT" w:hAnsi="Tw Cen MT" w:cs="Utsaah"/>
          <w:sz w:val="20"/>
        </w:rPr>
        <w:t xml:space="preserve"> later in life (Heim and </w:t>
      </w:r>
      <w:proofErr w:type="spellStart"/>
      <w:r w:rsidRPr="00E90CEF">
        <w:rPr>
          <w:rFonts w:ascii="Tw Cen MT" w:hAnsi="Tw Cen MT" w:cs="Utsaah"/>
          <w:sz w:val="20"/>
        </w:rPr>
        <w:t>Nemeroff</w:t>
      </w:r>
      <w:proofErr w:type="spellEnd"/>
      <w:r w:rsidRPr="00E90CEF">
        <w:rPr>
          <w:rFonts w:ascii="Tw Cen MT" w:hAnsi="Tw Cen MT" w:cs="Utsaah"/>
          <w:sz w:val="20"/>
        </w:rPr>
        <w:t>,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>2001).</w:t>
      </w:r>
    </w:p>
    <w:p w:rsidR="00891B0C" w:rsidRPr="00E90CEF" w:rsidRDefault="00046784" w:rsidP="00EA561E">
      <w:pPr>
        <w:rPr>
          <w:rFonts w:ascii="Tw Cen MT" w:hAnsi="Tw Cen MT" w:cs="Utsaah"/>
          <w:sz w:val="20"/>
        </w:rPr>
      </w:pPr>
      <w:proofErr w:type="spellStart"/>
      <w:r w:rsidRPr="00E90CEF">
        <w:rPr>
          <w:rFonts w:ascii="Tw Cen MT" w:hAnsi="Tw Cen MT" w:cs="Utsaah"/>
          <w:sz w:val="20"/>
        </w:rPr>
        <w:t>Kalinichev</w:t>
      </w:r>
      <w:proofErr w:type="spellEnd"/>
      <w:r w:rsidRPr="00E90CEF">
        <w:rPr>
          <w:rFonts w:ascii="Tw Cen MT" w:hAnsi="Tw Cen MT" w:cs="Utsaah"/>
          <w:sz w:val="20"/>
        </w:rPr>
        <w:t>:</w:t>
      </w:r>
    </w:p>
    <w:p w:rsidR="00046784" w:rsidRPr="00E90CEF" w:rsidRDefault="00046784" w:rsidP="00E90CEF">
      <w:pPr>
        <w:pStyle w:val="ListBullet"/>
        <w:rPr>
          <w:rFonts w:ascii="Tw Cen MT" w:hAnsi="Tw Cen MT" w:cs="Utsaah"/>
          <w:sz w:val="20"/>
        </w:rPr>
      </w:pPr>
      <w:r w:rsidRPr="00E90CEF">
        <w:rPr>
          <w:rFonts w:ascii="Tw Cen MT" w:hAnsi="Tw Cen MT" w:cs="Utsaah"/>
          <w:sz w:val="20"/>
        </w:rPr>
        <w:t>A large body of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 xml:space="preserve">evidence indicates that exposure to </w:t>
      </w:r>
      <w:r w:rsidRPr="00E90CEF">
        <w:rPr>
          <w:rFonts w:ascii="Tw Cen MT" w:hAnsi="Tw Cen MT" w:cs="Utsaah"/>
          <w:sz w:val="20"/>
          <w:highlight w:val="yellow"/>
        </w:rPr>
        <w:t>early adverse life events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>in the form of childhood neglect and abuse can increase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 xml:space="preserve">vulnerability to </w:t>
      </w:r>
      <w:r w:rsidRPr="00E90CEF">
        <w:rPr>
          <w:rFonts w:ascii="Tw Cen MT" w:hAnsi="Tw Cen MT" w:cs="Utsaah"/>
          <w:sz w:val="20"/>
          <w:highlight w:val="yellow"/>
        </w:rPr>
        <w:t>psychopathology in adult life</w:t>
      </w:r>
      <w:r w:rsidRPr="00E90CEF">
        <w:rPr>
          <w:rFonts w:ascii="Tw Cen MT" w:hAnsi="Tw Cen MT" w:cs="Utsaah"/>
          <w:sz w:val="20"/>
        </w:rPr>
        <w:t xml:space="preserve"> (Heim et al.,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 xml:space="preserve">1997, 2000; Ladd et al., 2000; </w:t>
      </w:r>
      <w:proofErr w:type="spellStart"/>
      <w:r w:rsidRPr="00E90CEF">
        <w:rPr>
          <w:rFonts w:ascii="Tw Cen MT" w:hAnsi="Tw Cen MT" w:cs="Utsaah"/>
          <w:sz w:val="20"/>
        </w:rPr>
        <w:t>Caldji</w:t>
      </w:r>
      <w:proofErr w:type="spellEnd"/>
      <w:r w:rsidRPr="00E90CEF">
        <w:rPr>
          <w:rFonts w:ascii="Tw Cen MT" w:hAnsi="Tw Cen MT" w:cs="Utsaah"/>
          <w:sz w:val="20"/>
        </w:rPr>
        <w:t xml:space="preserve"> et al., 2001).</w:t>
      </w:r>
      <w:r w:rsidR="00387E0B" w:rsidRPr="00E90CEF">
        <w:rPr>
          <w:rFonts w:ascii="Tw Cen MT" w:hAnsi="Tw Cen MT" w:cs="Utsaah"/>
          <w:sz w:val="20"/>
        </w:rPr>
        <w:t xml:space="preserve"> </w:t>
      </w:r>
    </w:p>
    <w:p w:rsidR="00891B0C" w:rsidRPr="00E90CEF" w:rsidRDefault="00891B0C" w:rsidP="00891B0C">
      <w:pPr>
        <w:pBdr>
          <w:bottom w:val="single" w:sz="4" w:space="1" w:color="auto"/>
        </w:pBdr>
        <w:rPr>
          <w:rFonts w:ascii="Tw Cen MT" w:hAnsi="Tw Cen MT" w:cs="Utsaah"/>
          <w:b/>
          <w:sz w:val="20"/>
        </w:rPr>
      </w:pPr>
      <w:r w:rsidRPr="00E90CEF">
        <w:rPr>
          <w:rFonts w:ascii="Tw Cen MT" w:hAnsi="Tw Cen MT" w:cs="Utsaah"/>
          <w:b/>
          <w:sz w:val="20"/>
        </w:rPr>
        <w:t>HPA</w:t>
      </w:r>
      <w:r w:rsidR="00E90CEF">
        <w:rPr>
          <w:rFonts w:ascii="Tw Cen MT" w:hAnsi="Tw Cen MT" w:cs="Utsaah"/>
          <w:b/>
          <w:sz w:val="20"/>
        </w:rPr>
        <w:t>-as</w:t>
      </w:r>
      <w:r w:rsidRPr="00E90CEF">
        <w:rPr>
          <w:rFonts w:ascii="Tw Cen MT" w:hAnsi="Tw Cen MT" w:cs="Utsaah"/>
          <w:b/>
          <w:sz w:val="20"/>
        </w:rPr>
        <w:t>:</w:t>
      </w:r>
    </w:p>
    <w:p w:rsidR="00891B0C" w:rsidRPr="00E90CEF" w:rsidRDefault="00891B0C" w:rsidP="00EA561E">
      <w:pPr>
        <w:rPr>
          <w:rFonts w:ascii="Tw Cen MT" w:hAnsi="Tw Cen MT" w:cs="Utsaah"/>
          <w:sz w:val="20"/>
        </w:rPr>
      </w:pPr>
      <w:proofErr w:type="spellStart"/>
      <w:r w:rsidRPr="00E90CEF">
        <w:rPr>
          <w:rFonts w:ascii="Tw Cen MT" w:hAnsi="Tw Cen MT" w:cs="Utsaah"/>
          <w:sz w:val="20"/>
        </w:rPr>
        <w:t>Aisa</w:t>
      </w:r>
      <w:proofErr w:type="spellEnd"/>
      <w:r w:rsidRPr="00E90CEF">
        <w:rPr>
          <w:rFonts w:ascii="Tw Cen MT" w:hAnsi="Tw Cen MT" w:cs="Utsaah"/>
          <w:sz w:val="20"/>
        </w:rPr>
        <w:t>:</w:t>
      </w:r>
    </w:p>
    <w:p w:rsidR="00891B0C" w:rsidRPr="00E90CEF" w:rsidRDefault="00891B0C" w:rsidP="00891B0C">
      <w:pPr>
        <w:pStyle w:val="ListBullet"/>
        <w:rPr>
          <w:rFonts w:ascii="Tw Cen MT" w:hAnsi="Tw Cen MT" w:cs="Utsaah"/>
          <w:sz w:val="20"/>
        </w:rPr>
      </w:pPr>
      <w:r w:rsidRPr="00E90CEF">
        <w:rPr>
          <w:rFonts w:ascii="Tw Cen MT" w:hAnsi="Tw Cen MT" w:cs="Utsaah"/>
          <w:sz w:val="20"/>
        </w:rPr>
        <w:t>The hypothalamic–pituitary–adrenal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>(HPA) axis is an essential component of an individual’s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>capacity to cope with stress and in fact, a hyperactivity of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>the HPA axis is observed in the majority of patients with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  <w:highlight w:val="yellow"/>
        </w:rPr>
        <w:t>depression</w:t>
      </w:r>
      <w:r w:rsidRPr="00E90CEF">
        <w:rPr>
          <w:rFonts w:ascii="Tw Cen MT" w:hAnsi="Tw Cen MT" w:cs="Utsaah"/>
          <w:sz w:val="20"/>
        </w:rPr>
        <w:t xml:space="preserve"> (review by </w:t>
      </w:r>
      <w:proofErr w:type="spellStart"/>
      <w:r w:rsidRPr="00E90CEF">
        <w:rPr>
          <w:rFonts w:ascii="Tw Cen MT" w:hAnsi="Tw Cen MT" w:cs="Utsaah"/>
          <w:sz w:val="20"/>
        </w:rPr>
        <w:t>Arborelius</w:t>
      </w:r>
      <w:proofErr w:type="spellEnd"/>
      <w:r w:rsidRPr="00E90CEF">
        <w:rPr>
          <w:rFonts w:ascii="Tw Cen MT" w:hAnsi="Tw Cen MT" w:cs="Utsaah"/>
          <w:sz w:val="20"/>
        </w:rPr>
        <w:t xml:space="preserve"> et al., 1999; De </w:t>
      </w:r>
      <w:proofErr w:type="spellStart"/>
      <w:r w:rsidRPr="00E90CEF">
        <w:rPr>
          <w:rFonts w:ascii="Tw Cen MT" w:hAnsi="Tw Cen MT" w:cs="Utsaah"/>
          <w:sz w:val="20"/>
        </w:rPr>
        <w:t>Kloet</w:t>
      </w:r>
      <w:proofErr w:type="spellEnd"/>
      <w:r w:rsidRPr="00E90CEF">
        <w:rPr>
          <w:rFonts w:ascii="Tw Cen MT" w:hAnsi="Tw Cen MT" w:cs="Utsaah"/>
          <w:sz w:val="20"/>
        </w:rPr>
        <w:t xml:space="preserve"> et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 xml:space="preserve">al., 2005). </w:t>
      </w:r>
    </w:p>
    <w:p w:rsidR="00891B0C" w:rsidRPr="00E90CEF" w:rsidRDefault="00891B0C" w:rsidP="00891B0C">
      <w:pPr>
        <w:pStyle w:val="ListBullet"/>
        <w:rPr>
          <w:rFonts w:ascii="Tw Cen MT" w:hAnsi="Tw Cen MT" w:cs="Utsaah"/>
          <w:sz w:val="20"/>
        </w:rPr>
      </w:pPr>
      <w:r w:rsidRPr="00E90CEF">
        <w:rPr>
          <w:rFonts w:ascii="Tw Cen MT" w:hAnsi="Tw Cen MT" w:cs="Utsaah"/>
          <w:sz w:val="20"/>
        </w:rPr>
        <w:t>Stress stimulation of the axis starts when</w:t>
      </w:r>
      <w:r w:rsidRPr="00E90CEF">
        <w:rPr>
          <w:rFonts w:ascii="Tw Cen MT" w:hAnsi="Tw Cen MT" w:cs="Utsaah"/>
          <w:sz w:val="20"/>
        </w:rPr>
        <w:t xml:space="preserve"> </w:t>
      </w:r>
      <w:proofErr w:type="spellStart"/>
      <w:r w:rsidRPr="00E90CEF">
        <w:rPr>
          <w:rFonts w:ascii="Tw Cen MT" w:hAnsi="Tw Cen MT" w:cs="Utsaah"/>
          <w:sz w:val="20"/>
        </w:rPr>
        <w:t>corticotropin</w:t>
      </w:r>
      <w:proofErr w:type="spellEnd"/>
      <w:r w:rsidRPr="00E90CEF">
        <w:rPr>
          <w:rFonts w:ascii="Tw Cen MT" w:hAnsi="Tw Cen MT" w:cs="Utsaah"/>
          <w:sz w:val="20"/>
        </w:rPr>
        <w:t xml:space="preserve"> releasing factor (CRF) released by the </w:t>
      </w:r>
      <w:proofErr w:type="spellStart"/>
      <w:r w:rsidRPr="00E90CEF">
        <w:rPr>
          <w:rFonts w:ascii="Tw Cen MT" w:hAnsi="Tw Cen MT" w:cs="Utsaah"/>
          <w:sz w:val="20"/>
        </w:rPr>
        <w:t>paraventricular</w:t>
      </w:r>
      <w:proofErr w:type="spellEnd"/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>nucleus of the hypothalamus (PVN) stimulates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 xml:space="preserve">the release of </w:t>
      </w:r>
      <w:proofErr w:type="spellStart"/>
      <w:r w:rsidRPr="00E90CEF">
        <w:rPr>
          <w:rFonts w:ascii="Tw Cen MT" w:hAnsi="Tw Cen MT" w:cs="Utsaah"/>
          <w:sz w:val="20"/>
        </w:rPr>
        <w:t>corticotropin</w:t>
      </w:r>
      <w:proofErr w:type="spellEnd"/>
      <w:r w:rsidRPr="00E90CEF">
        <w:rPr>
          <w:rFonts w:ascii="Tw Cen MT" w:hAnsi="Tw Cen MT" w:cs="Utsaah"/>
          <w:sz w:val="20"/>
        </w:rPr>
        <w:t xml:space="preserve"> (ACTH) from the anterior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>pituitary, which in turn, stimulates secretion from the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>adrenal cortex.</w:t>
      </w:r>
    </w:p>
    <w:p w:rsidR="00891B0C" w:rsidRPr="00E90CEF" w:rsidRDefault="00891B0C" w:rsidP="00EA561E">
      <w:pPr>
        <w:pStyle w:val="ListBullet"/>
        <w:rPr>
          <w:rFonts w:ascii="Tw Cen MT" w:hAnsi="Tw Cen MT" w:cs="Utsaah"/>
          <w:sz w:val="20"/>
        </w:rPr>
      </w:pPr>
      <w:r w:rsidRPr="00E90CEF">
        <w:rPr>
          <w:rFonts w:ascii="Tw Cen MT" w:hAnsi="Tw Cen MT" w:cs="Utsaah"/>
          <w:sz w:val="20"/>
        </w:rPr>
        <w:t xml:space="preserve">Many of the </w:t>
      </w:r>
      <w:proofErr w:type="spellStart"/>
      <w:r w:rsidRPr="00E90CEF">
        <w:rPr>
          <w:rFonts w:ascii="Tw Cen MT" w:hAnsi="Tw Cen MT" w:cs="Utsaah"/>
          <w:sz w:val="20"/>
          <w:highlight w:val="yellow"/>
        </w:rPr>
        <w:t>behavioural</w:t>
      </w:r>
      <w:proofErr w:type="spellEnd"/>
      <w:r w:rsidRPr="00E90CEF">
        <w:rPr>
          <w:rFonts w:ascii="Tw Cen MT" w:hAnsi="Tw Cen MT" w:cs="Utsaah"/>
          <w:sz w:val="20"/>
          <w:highlight w:val="yellow"/>
        </w:rPr>
        <w:t xml:space="preserve"> consequences of</w:t>
      </w:r>
      <w:r w:rsidRPr="00E90CEF">
        <w:rPr>
          <w:rFonts w:ascii="Tw Cen MT" w:hAnsi="Tw Cen MT" w:cs="Utsaah"/>
          <w:sz w:val="20"/>
          <w:highlight w:val="yellow"/>
        </w:rPr>
        <w:t xml:space="preserve"> </w:t>
      </w:r>
      <w:r w:rsidRPr="00E90CEF">
        <w:rPr>
          <w:rFonts w:ascii="Tw Cen MT" w:hAnsi="Tw Cen MT" w:cs="Utsaah"/>
          <w:sz w:val="20"/>
          <w:highlight w:val="yellow"/>
        </w:rPr>
        <w:t>stress</w:t>
      </w:r>
      <w:r w:rsidRPr="00E90CEF">
        <w:rPr>
          <w:rFonts w:ascii="Tw Cen MT" w:hAnsi="Tw Cen MT" w:cs="Utsaah"/>
          <w:sz w:val="20"/>
        </w:rPr>
        <w:t xml:space="preserve"> are thought to be mediated by the activation of the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>glucocorticoid receptor by stress-induced high levels of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  <w:highlight w:val="yellow"/>
        </w:rPr>
        <w:t>glucocorticoid hormones</w:t>
      </w:r>
      <w:r w:rsidRPr="00E90CEF">
        <w:rPr>
          <w:rFonts w:ascii="Tw Cen MT" w:hAnsi="Tw Cen MT" w:cs="Utsaah"/>
          <w:sz w:val="20"/>
        </w:rPr>
        <w:t xml:space="preserve"> (De </w:t>
      </w:r>
      <w:proofErr w:type="spellStart"/>
      <w:r w:rsidRPr="00E90CEF">
        <w:rPr>
          <w:rFonts w:ascii="Tw Cen MT" w:hAnsi="Tw Cen MT" w:cs="Utsaah"/>
          <w:sz w:val="20"/>
        </w:rPr>
        <w:t>Kloet</w:t>
      </w:r>
      <w:proofErr w:type="spellEnd"/>
      <w:r w:rsidRPr="00E90CEF">
        <w:rPr>
          <w:rFonts w:ascii="Tw Cen MT" w:hAnsi="Tw Cen MT" w:cs="Utsaah"/>
          <w:sz w:val="20"/>
        </w:rPr>
        <w:t xml:space="preserve"> et al., 1998; </w:t>
      </w:r>
      <w:proofErr w:type="spellStart"/>
      <w:r w:rsidRPr="00E90CEF">
        <w:rPr>
          <w:rFonts w:ascii="Tw Cen MT" w:hAnsi="Tw Cen MT" w:cs="Utsaah"/>
          <w:sz w:val="20"/>
        </w:rPr>
        <w:t>Oitzl</w:t>
      </w:r>
      <w:proofErr w:type="spellEnd"/>
      <w:r w:rsidRPr="00E90CEF">
        <w:rPr>
          <w:rFonts w:ascii="Tw Cen MT" w:hAnsi="Tw Cen MT" w:cs="Utsaah"/>
          <w:sz w:val="20"/>
        </w:rPr>
        <w:t xml:space="preserve"> et al.,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 xml:space="preserve">2001; </w:t>
      </w:r>
      <w:proofErr w:type="spellStart"/>
      <w:r w:rsidRPr="00E90CEF">
        <w:rPr>
          <w:rFonts w:ascii="Tw Cen MT" w:hAnsi="Tw Cen MT" w:cs="Utsaah"/>
          <w:sz w:val="20"/>
        </w:rPr>
        <w:t>Roozendaal</w:t>
      </w:r>
      <w:proofErr w:type="spellEnd"/>
      <w:r w:rsidRPr="00E90CEF">
        <w:rPr>
          <w:rFonts w:ascii="Tw Cen MT" w:hAnsi="Tw Cen MT" w:cs="Utsaah"/>
          <w:sz w:val="20"/>
        </w:rPr>
        <w:t xml:space="preserve"> et al., 2006a) and subsequent alteration in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  <w:highlight w:val="yellow"/>
        </w:rPr>
        <w:t>gene expression</w:t>
      </w:r>
      <w:r w:rsidRPr="00E90CEF">
        <w:rPr>
          <w:rFonts w:ascii="Tw Cen MT" w:hAnsi="Tw Cen MT" w:cs="Utsaah"/>
          <w:sz w:val="20"/>
        </w:rPr>
        <w:t xml:space="preserve"> (see review by </w:t>
      </w:r>
      <w:proofErr w:type="spellStart"/>
      <w:r w:rsidRPr="00E90CEF">
        <w:rPr>
          <w:rFonts w:ascii="Tw Cen MT" w:hAnsi="Tw Cen MT" w:cs="Utsaah"/>
          <w:sz w:val="20"/>
        </w:rPr>
        <w:t>Berton</w:t>
      </w:r>
      <w:proofErr w:type="spellEnd"/>
      <w:r w:rsidRPr="00E90CEF">
        <w:rPr>
          <w:rFonts w:ascii="Tw Cen MT" w:hAnsi="Tw Cen MT" w:cs="Utsaah"/>
          <w:sz w:val="20"/>
        </w:rPr>
        <w:t xml:space="preserve"> and </w:t>
      </w:r>
      <w:proofErr w:type="spellStart"/>
      <w:r w:rsidRPr="00E90CEF">
        <w:rPr>
          <w:rFonts w:ascii="Tw Cen MT" w:hAnsi="Tw Cen MT" w:cs="Utsaah"/>
          <w:sz w:val="20"/>
        </w:rPr>
        <w:t>Nestler</w:t>
      </w:r>
      <w:proofErr w:type="spellEnd"/>
      <w:r w:rsidRPr="00E90CEF">
        <w:rPr>
          <w:rFonts w:ascii="Tw Cen MT" w:hAnsi="Tw Cen MT" w:cs="Utsaah"/>
          <w:sz w:val="20"/>
        </w:rPr>
        <w:t>, 2006).</w:t>
      </w:r>
    </w:p>
    <w:p w:rsidR="001C3ADE" w:rsidRPr="00E90CEF" w:rsidRDefault="00E90CEF" w:rsidP="00503CEA">
      <w:pPr>
        <w:pBdr>
          <w:bottom w:val="single" w:sz="4" w:space="1" w:color="auto"/>
        </w:pBdr>
        <w:rPr>
          <w:rFonts w:ascii="Tw Cen MT" w:hAnsi="Tw Cen MT" w:cs="Utsaah"/>
          <w:b/>
          <w:sz w:val="20"/>
        </w:rPr>
      </w:pPr>
      <w:proofErr w:type="spellStart"/>
      <w:r>
        <w:rPr>
          <w:rFonts w:ascii="Tw Cen MT" w:hAnsi="Tw Cen MT" w:cs="Utsaah"/>
          <w:b/>
          <w:sz w:val="20"/>
        </w:rPr>
        <w:t>Maternale</w:t>
      </w:r>
      <w:proofErr w:type="spellEnd"/>
      <w:r>
        <w:rPr>
          <w:rFonts w:ascii="Tw Cen MT" w:hAnsi="Tw Cen MT" w:cs="Utsaah"/>
          <w:b/>
          <w:sz w:val="20"/>
        </w:rPr>
        <w:t xml:space="preserve"> </w:t>
      </w:r>
      <w:proofErr w:type="spellStart"/>
      <w:r>
        <w:rPr>
          <w:rFonts w:ascii="Tw Cen MT" w:hAnsi="Tw Cen MT" w:cs="Utsaah"/>
          <w:b/>
          <w:sz w:val="20"/>
        </w:rPr>
        <w:t>separatie</w:t>
      </w:r>
      <w:proofErr w:type="spellEnd"/>
      <w:r>
        <w:rPr>
          <w:rFonts w:ascii="Tw Cen MT" w:hAnsi="Tw Cen MT" w:cs="Utsaah"/>
          <w:b/>
          <w:sz w:val="20"/>
        </w:rPr>
        <w:t>:</w:t>
      </w:r>
    </w:p>
    <w:p w:rsidR="00503CEA" w:rsidRPr="00E90CEF" w:rsidRDefault="00503CEA" w:rsidP="00503CEA">
      <w:pPr>
        <w:rPr>
          <w:rFonts w:ascii="Tw Cen MT" w:hAnsi="Tw Cen MT" w:cs="Utsaah"/>
          <w:sz w:val="20"/>
        </w:rPr>
      </w:pPr>
      <w:proofErr w:type="spellStart"/>
      <w:r w:rsidRPr="00E90CEF">
        <w:rPr>
          <w:rFonts w:ascii="Tw Cen MT" w:hAnsi="Tw Cen MT" w:cs="Utsaah"/>
          <w:sz w:val="20"/>
        </w:rPr>
        <w:t>Aisa</w:t>
      </w:r>
      <w:proofErr w:type="spellEnd"/>
      <w:r w:rsidRPr="00E90CEF">
        <w:rPr>
          <w:rFonts w:ascii="Tw Cen MT" w:hAnsi="Tw Cen MT" w:cs="Utsaah"/>
          <w:sz w:val="20"/>
        </w:rPr>
        <w:t>:</w:t>
      </w:r>
    </w:p>
    <w:p w:rsidR="001C3ADE" w:rsidRPr="00E90CEF" w:rsidRDefault="001C3ADE" w:rsidP="00503CEA">
      <w:pPr>
        <w:pStyle w:val="ListBullet"/>
        <w:rPr>
          <w:rFonts w:ascii="Tw Cen MT" w:hAnsi="Tw Cen MT" w:cs="Utsaah"/>
          <w:sz w:val="20"/>
        </w:rPr>
      </w:pPr>
      <w:r w:rsidRPr="00E90CEF">
        <w:rPr>
          <w:rFonts w:ascii="Tw Cen MT" w:hAnsi="Tw Cen MT" w:cs="Utsaah"/>
          <w:sz w:val="20"/>
        </w:rPr>
        <w:t xml:space="preserve">Based on these arguments, it </w:t>
      </w:r>
      <w:proofErr w:type="gramStart"/>
      <w:r w:rsidRPr="00E90CEF">
        <w:rPr>
          <w:rFonts w:ascii="Tw Cen MT" w:hAnsi="Tw Cen MT" w:cs="Utsaah"/>
          <w:sz w:val="20"/>
        </w:rPr>
        <w:t>has been shown</w:t>
      </w:r>
      <w:proofErr w:type="gramEnd"/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>that prolonged periods (41 h) of maternal separation (</w:t>
      </w:r>
      <w:r w:rsidRPr="00E90CEF">
        <w:rPr>
          <w:rFonts w:ascii="Tw Cen MT" w:hAnsi="Tw Cen MT" w:cs="Utsaah"/>
          <w:sz w:val="20"/>
          <w:highlight w:val="yellow"/>
        </w:rPr>
        <w:t>MS</w:t>
      </w:r>
      <w:r w:rsidRPr="00E90CEF">
        <w:rPr>
          <w:rFonts w:ascii="Tw Cen MT" w:hAnsi="Tw Cen MT" w:cs="Utsaah"/>
          <w:sz w:val="20"/>
        </w:rPr>
        <w:t>)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>during the first weeks of life result in animals with</w:t>
      </w:r>
      <w:r w:rsidRPr="00E90CEF">
        <w:rPr>
          <w:rFonts w:ascii="Tw Cen MT" w:hAnsi="Tw Cen MT" w:cs="Utsaah"/>
          <w:sz w:val="20"/>
        </w:rPr>
        <w:t xml:space="preserve"> </w:t>
      </w:r>
      <w:proofErr w:type="spellStart"/>
      <w:r w:rsidRPr="00E90CEF">
        <w:rPr>
          <w:rFonts w:ascii="Tw Cen MT" w:hAnsi="Tw Cen MT" w:cs="Utsaah"/>
          <w:sz w:val="20"/>
          <w:highlight w:val="yellow"/>
        </w:rPr>
        <w:t>behavioural</w:t>
      </w:r>
      <w:proofErr w:type="spellEnd"/>
      <w:r w:rsidRPr="00E90CEF">
        <w:rPr>
          <w:rFonts w:ascii="Tw Cen MT" w:hAnsi="Tw Cen MT" w:cs="Utsaah"/>
          <w:sz w:val="20"/>
          <w:highlight w:val="yellow"/>
        </w:rPr>
        <w:t xml:space="preserve"> and neuroendocrine signs of elevated stress</w:t>
      </w:r>
      <w:r w:rsidRPr="00E90CEF">
        <w:rPr>
          <w:rFonts w:ascii="Tw Cen MT" w:hAnsi="Tw Cen MT" w:cs="Utsaah"/>
          <w:sz w:val="20"/>
          <w:highlight w:val="yellow"/>
        </w:rPr>
        <w:t xml:space="preserve"> </w:t>
      </w:r>
      <w:r w:rsidRPr="00E90CEF">
        <w:rPr>
          <w:rFonts w:ascii="Tw Cen MT" w:hAnsi="Tw Cen MT" w:cs="Utsaah"/>
          <w:sz w:val="20"/>
          <w:highlight w:val="yellow"/>
        </w:rPr>
        <w:t>reactivity as adults</w:t>
      </w:r>
      <w:r w:rsidRPr="00E90CEF">
        <w:rPr>
          <w:rFonts w:ascii="Tw Cen MT" w:hAnsi="Tw Cen MT" w:cs="Utsaah"/>
          <w:sz w:val="20"/>
        </w:rPr>
        <w:t xml:space="preserve"> (</w:t>
      </w:r>
      <w:proofErr w:type="spellStart"/>
      <w:r w:rsidRPr="00E90CEF">
        <w:rPr>
          <w:rFonts w:ascii="Tw Cen MT" w:hAnsi="Tw Cen MT" w:cs="Utsaah"/>
          <w:sz w:val="20"/>
        </w:rPr>
        <w:t>Anisman</w:t>
      </w:r>
      <w:proofErr w:type="spellEnd"/>
      <w:r w:rsidRPr="00E90CEF">
        <w:rPr>
          <w:rFonts w:ascii="Tw Cen MT" w:hAnsi="Tw Cen MT" w:cs="Utsaah"/>
          <w:sz w:val="20"/>
        </w:rPr>
        <w:t xml:space="preserve"> et al., 1998; Ladd et al., 2000;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 xml:space="preserve">Lehman and </w:t>
      </w:r>
      <w:proofErr w:type="spellStart"/>
      <w:r w:rsidRPr="00E90CEF">
        <w:rPr>
          <w:rFonts w:ascii="Tw Cen MT" w:hAnsi="Tw Cen MT" w:cs="Utsaah"/>
          <w:sz w:val="20"/>
        </w:rPr>
        <w:t>Feldon</w:t>
      </w:r>
      <w:proofErr w:type="spellEnd"/>
      <w:r w:rsidRPr="00E90CEF">
        <w:rPr>
          <w:rFonts w:ascii="Tw Cen MT" w:hAnsi="Tw Cen MT" w:cs="Utsaah"/>
          <w:sz w:val="20"/>
        </w:rPr>
        <w:t xml:space="preserve">, 2000; </w:t>
      </w:r>
      <w:proofErr w:type="spellStart"/>
      <w:r w:rsidRPr="00E90CEF">
        <w:rPr>
          <w:rFonts w:ascii="Tw Cen MT" w:hAnsi="Tw Cen MT" w:cs="Utsaah"/>
          <w:sz w:val="20"/>
        </w:rPr>
        <w:t>Ploj</w:t>
      </w:r>
      <w:proofErr w:type="spellEnd"/>
      <w:r w:rsidRPr="00E90CEF">
        <w:rPr>
          <w:rFonts w:ascii="Tw Cen MT" w:hAnsi="Tw Cen MT" w:cs="Utsaah"/>
          <w:sz w:val="20"/>
        </w:rPr>
        <w:t xml:space="preserve"> et al., 2003).</w:t>
      </w:r>
      <w:r w:rsidR="00503CEA" w:rsidRPr="00E90CEF">
        <w:rPr>
          <w:rFonts w:ascii="Tw Cen MT" w:hAnsi="Tw Cen MT" w:cs="Utsaah"/>
          <w:sz w:val="20"/>
        </w:rPr>
        <w:t xml:space="preserve"> </w:t>
      </w:r>
      <w:r w:rsidR="00503CEA" w:rsidRPr="00E90CEF">
        <w:rPr>
          <w:rFonts w:ascii="Tw Cen MT" w:hAnsi="Tw Cen MT" w:cs="Utsaah"/>
          <w:sz w:val="20"/>
        </w:rPr>
        <w:br/>
      </w:r>
      <w:proofErr w:type="gramStart"/>
      <w:r w:rsidR="00503CEA" w:rsidRPr="00E90CEF">
        <w:rPr>
          <w:rFonts w:ascii="Tw Cen MT" w:hAnsi="Tw Cen MT" w:cs="Utsaah"/>
          <w:sz w:val="20"/>
        </w:rPr>
        <w:t>In addition to</w:t>
      </w:r>
      <w:r w:rsidR="00503CEA" w:rsidRPr="00E90CEF">
        <w:rPr>
          <w:rFonts w:ascii="Tw Cen MT" w:hAnsi="Tw Cen MT" w:cs="Utsaah"/>
          <w:sz w:val="20"/>
        </w:rPr>
        <w:t xml:space="preserve"> </w:t>
      </w:r>
      <w:r w:rsidR="00503CEA" w:rsidRPr="00E90CEF">
        <w:rPr>
          <w:rFonts w:ascii="Tw Cen MT" w:hAnsi="Tw Cen MT" w:cs="Utsaah"/>
          <w:sz w:val="20"/>
        </w:rPr>
        <w:t xml:space="preserve">an increase in immobility time in the </w:t>
      </w:r>
      <w:proofErr w:type="spellStart"/>
      <w:r w:rsidR="00503CEA" w:rsidRPr="00E90CEF">
        <w:rPr>
          <w:rFonts w:ascii="Tw Cen MT" w:hAnsi="Tw Cen MT" w:cs="Utsaah"/>
          <w:sz w:val="20"/>
        </w:rPr>
        <w:t>Porsolt</w:t>
      </w:r>
      <w:proofErr w:type="spellEnd"/>
      <w:r w:rsidR="00503CEA" w:rsidRPr="00E90CEF">
        <w:rPr>
          <w:rFonts w:ascii="Tw Cen MT" w:hAnsi="Tw Cen MT" w:cs="Utsaah"/>
          <w:sz w:val="20"/>
        </w:rPr>
        <w:t xml:space="preserve"> forced</w:t>
      </w:r>
      <w:r w:rsidR="00503CEA" w:rsidRPr="00E90CEF">
        <w:rPr>
          <w:rFonts w:ascii="Tw Cen MT" w:hAnsi="Tw Cen MT" w:cs="Utsaah"/>
          <w:sz w:val="20"/>
        </w:rPr>
        <w:t xml:space="preserve"> </w:t>
      </w:r>
      <w:r w:rsidR="00503CEA" w:rsidRPr="00E90CEF">
        <w:rPr>
          <w:rFonts w:ascii="Tw Cen MT" w:hAnsi="Tw Cen MT" w:cs="Utsaah"/>
          <w:sz w:val="20"/>
        </w:rPr>
        <w:t xml:space="preserve">swimming test, </w:t>
      </w:r>
      <w:proofErr w:type="spellStart"/>
      <w:r w:rsidR="00503CEA" w:rsidRPr="00E90CEF">
        <w:rPr>
          <w:rFonts w:ascii="Tw Cen MT" w:hAnsi="Tw Cen MT" w:cs="Utsaah"/>
          <w:sz w:val="20"/>
        </w:rPr>
        <w:t>anhedonia</w:t>
      </w:r>
      <w:proofErr w:type="spellEnd"/>
      <w:r w:rsidR="00503CEA" w:rsidRPr="00E90CEF">
        <w:rPr>
          <w:rFonts w:ascii="Tw Cen MT" w:hAnsi="Tw Cen MT" w:cs="Utsaah"/>
          <w:sz w:val="20"/>
        </w:rPr>
        <w:t>, and an enhanced anxiety-like</w:t>
      </w:r>
      <w:r w:rsidR="00503CEA" w:rsidRPr="00E90CEF">
        <w:rPr>
          <w:rFonts w:ascii="Tw Cen MT" w:hAnsi="Tw Cen MT" w:cs="Utsaah"/>
          <w:sz w:val="20"/>
        </w:rPr>
        <w:t xml:space="preserve"> </w:t>
      </w:r>
      <w:proofErr w:type="spellStart"/>
      <w:r w:rsidR="00503CEA" w:rsidRPr="00E90CEF">
        <w:rPr>
          <w:rFonts w:ascii="Tw Cen MT" w:hAnsi="Tw Cen MT" w:cs="Utsaah"/>
          <w:sz w:val="20"/>
        </w:rPr>
        <w:t>behaviour</w:t>
      </w:r>
      <w:proofErr w:type="spellEnd"/>
      <w:r w:rsidR="00503CEA" w:rsidRPr="00E90CEF">
        <w:rPr>
          <w:rFonts w:ascii="Tw Cen MT" w:hAnsi="Tw Cen MT" w:cs="Utsaah"/>
          <w:sz w:val="20"/>
        </w:rPr>
        <w:t>, MS animals exhibit a dysfunction of the HPA axis</w:t>
      </w:r>
      <w:r w:rsidR="00503CEA" w:rsidRPr="00E90CEF">
        <w:rPr>
          <w:rFonts w:ascii="Tw Cen MT" w:hAnsi="Tw Cen MT" w:cs="Utsaah"/>
          <w:sz w:val="20"/>
        </w:rPr>
        <w:t xml:space="preserve"> </w:t>
      </w:r>
      <w:r w:rsidR="00503CEA" w:rsidRPr="00E90CEF">
        <w:rPr>
          <w:rFonts w:ascii="Tw Cen MT" w:hAnsi="Tw Cen MT" w:cs="Utsaah"/>
          <w:sz w:val="20"/>
        </w:rPr>
        <w:t xml:space="preserve">reactivity to stress and therefore, the </w:t>
      </w:r>
      <w:r w:rsidR="00503CEA" w:rsidRPr="00E90CEF">
        <w:rPr>
          <w:rFonts w:ascii="Tw Cen MT" w:hAnsi="Tw Cen MT" w:cs="Utsaah"/>
          <w:sz w:val="20"/>
          <w:highlight w:val="yellow"/>
        </w:rPr>
        <w:t>MS model in rat</w:t>
      </w:r>
      <w:r w:rsidR="00503CEA" w:rsidRPr="00E90CEF">
        <w:rPr>
          <w:rFonts w:ascii="Tw Cen MT" w:hAnsi="Tw Cen MT" w:cs="Utsaah"/>
          <w:sz w:val="20"/>
        </w:rPr>
        <w:t xml:space="preserve"> is</w:t>
      </w:r>
      <w:r w:rsidR="00503CEA" w:rsidRPr="00E90CEF">
        <w:rPr>
          <w:rFonts w:ascii="Tw Cen MT" w:hAnsi="Tw Cen MT" w:cs="Utsaah"/>
          <w:sz w:val="20"/>
        </w:rPr>
        <w:t xml:space="preserve"> </w:t>
      </w:r>
      <w:r w:rsidR="00503CEA" w:rsidRPr="00E90CEF">
        <w:rPr>
          <w:rFonts w:ascii="Tw Cen MT" w:hAnsi="Tw Cen MT" w:cs="Utsaah"/>
          <w:sz w:val="20"/>
        </w:rPr>
        <w:t xml:space="preserve">considered nowadays as a </w:t>
      </w:r>
      <w:r w:rsidR="00503CEA" w:rsidRPr="00E90CEF">
        <w:rPr>
          <w:rFonts w:ascii="Tw Cen MT" w:hAnsi="Tw Cen MT" w:cs="Utsaah"/>
          <w:sz w:val="20"/>
          <w:highlight w:val="yellow"/>
        </w:rPr>
        <w:t>robust model of enhanced stress</w:t>
      </w:r>
      <w:r w:rsidR="00503CEA" w:rsidRPr="00E90CEF">
        <w:rPr>
          <w:rFonts w:ascii="Tw Cen MT" w:hAnsi="Tw Cen MT" w:cs="Utsaah"/>
          <w:sz w:val="20"/>
          <w:highlight w:val="yellow"/>
        </w:rPr>
        <w:t xml:space="preserve"> </w:t>
      </w:r>
      <w:r w:rsidR="00503CEA" w:rsidRPr="00E90CEF">
        <w:rPr>
          <w:rFonts w:ascii="Tw Cen MT" w:hAnsi="Tw Cen MT" w:cs="Utsaah"/>
          <w:sz w:val="20"/>
          <w:highlight w:val="yellow"/>
        </w:rPr>
        <w:t xml:space="preserve">responsiveness and depressive-like </w:t>
      </w:r>
      <w:proofErr w:type="spellStart"/>
      <w:r w:rsidR="00503CEA" w:rsidRPr="00E90CEF">
        <w:rPr>
          <w:rFonts w:ascii="Tw Cen MT" w:hAnsi="Tw Cen MT" w:cs="Utsaah"/>
          <w:sz w:val="20"/>
          <w:highlight w:val="yellow"/>
        </w:rPr>
        <w:t>behaviour</w:t>
      </w:r>
      <w:proofErr w:type="spellEnd"/>
      <w:r w:rsidR="00503CEA" w:rsidRPr="00E90CEF">
        <w:rPr>
          <w:rFonts w:ascii="Tw Cen MT" w:hAnsi="Tw Cen MT" w:cs="Utsaah"/>
          <w:sz w:val="20"/>
        </w:rPr>
        <w:t xml:space="preserve"> (Ladd et al.,</w:t>
      </w:r>
      <w:r w:rsidR="00503CEA" w:rsidRPr="00E90CEF">
        <w:rPr>
          <w:rFonts w:ascii="Tw Cen MT" w:hAnsi="Tw Cen MT" w:cs="Utsaah"/>
          <w:sz w:val="20"/>
        </w:rPr>
        <w:t xml:space="preserve"> </w:t>
      </w:r>
      <w:r w:rsidR="00503CEA" w:rsidRPr="00E90CEF">
        <w:rPr>
          <w:rFonts w:ascii="Tw Cen MT" w:hAnsi="Tw Cen MT" w:cs="Utsaah"/>
          <w:sz w:val="20"/>
        </w:rPr>
        <w:t>2000; Van den Hove et al., 2005).</w:t>
      </w:r>
      <w:proofErr w:type="gramEnd"/>
    </w:p>
    <w:p w:rsidR="007720E4" w:rsidRPr="00E90CEF" w:rsidRDefault="007720E4" w:rsidP="007720E4">
      <w:pPr>
        <w:rPr>
          <w:rFonts w:ascii="Tw Cen MT" w:hAnsi="Tw Cen MT" w:cs="Utsaah"/>
          <w:sz w:val="20"/>
        </w:rPr>
      </w:pPr>
      <w:proofErr w:type="spellStart"/>
      <w:r w:rsidRPr="00E90CEF">
        <w:rPr>
          <w:rFonts w:ascii="Tw Cen MT" w:hAnsi="Tw Cen MT" w:cs="Utsaah"/>
          <w:sz w:val="20"/>
        </w:rPr>
        <w:t>Kalinichev</w:t>
      </w:r>
      <w:proofErr w:type="spellEnd"/>
      <w:r w:rsidRPr="00E90CEF">
        <w:rPr>
          <w:rFonts w:ascii="Tw Cen MT" w:hAnsi="Tw Cen MT" w:cs="Utsaah"/>
          <w:sz w:val="20"/>
        </w:rPr>
        <w:t>:</w:t>
      </w:r>
    </w:p>
    <w:p w:rsidR="007720E4" w:rsidRPr="00E90CEF" w:rsidRDefault="007720E4" w:rsidP="007720E4">
      <w:pPr>
        <w:pStyle w:val="ListBullet"/>
        <w:rPr>
          <w:rFonts w:ascii="Tw Cen MT" w:hAnsi="Tw Cen MT" w:cs="Utsaah"/>
          <w:sz w:val="20"/>
        </w:rPr>
      </w:pPr>
      <w:proofErr w:type="gramStart"/>
      <w:r w:rsidRPr="00E90CEF">
        <w:rPr>
          <w:rFonts w:ascii="Tw Cen MT" w:hAnsi="Tw Cen MT" w:cs="Utsaah"/>
          <w:sz w:val="20"/>
        </w:rPr>
        <w:t xml:space="preserve">Periodic neonatal </w:t>
      </w:r>
      <w:r w:rsidRPr="00E90CEF">
        <w:rPr>
          <w:rFonts w:ascii="Tw Cen MT" w:hAnsi="Tw Cen MT" w:cs="Utsaah"/>
          <w:sz w:val="20"/>
          <w:highlight w:val="yellow"/>
        </w:rPr>
        <w:t>maternal separation</w:t>
      </w:r>
      <w:r w:rsidRPr="00E90CEF">
        <w:rPr>
          <w:rFonts w:ascii="Tw Cen MT" w:hAnsi="Tw Cen MT" w:cs="Utsaah"/>
          <w:sz w:val="20"/>
        </w:rPr>
        <w:t xml:space="preserve"> in the rat has been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>used by several investigators</w:t>
      </w:r>
      <w:proofErr w:type="gramEnd"/>
      <w:r w:rsidRPr="00E90CEF">
        <w:rPr>
          <w:rFonts w:ascii="Tw Cen MT" w:hAnsi="Tw Cen MT" w:cs="Utsaah"/>
          <w:sz w:val="20"/>
        </w:rPr>
        <w:t xml:space="preserve"> as a </w:t>
      </w:r>
      <w:r w:rsidRPr="00E90CEF">
        <w:rPr>
          <w:rFonts w:ascii="Tw Cen MT" w:hAnsi="Tw Cen MT" w:cs="Utsaah"/>
          <w:sz w:val="20"/>
          <w:highlight w:val="yellow"/>
        </w:rPr>
        <w:t>rodent model</w:t>
      </w:r>
      <w:r w:rsidRPr="00E90CEF">
        <w:rPr>
          <w:rFonts w:ascii="Tw Cen MT" w:hAnsi="Tw Cen MT" w:cs="Utsaah"/>
          <w:sz w:val="20"/>
        </w:rPr>
        <w:t xml:space="preserve"> of the effects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 xml:space="preserve">of </w:t>
      </w:r>
      <w:r w:rsidRPr="00E90CEF">
        <w:rPr>
          <w:rFonts w:ascii="Tw Cen MT" w:hAnsi="Tw Cen MT" w:cs="Utsaah"/>
          <w:sz w:val="20"/>
          <w:highlight w:val="yellow"/>
        </w:rPr>
        <w:t>early adverse life events on adult physiology and behavior</w:t>
      </w:r>
      <w:r w:rsidRPr="00E90CEF">
        <w:rPr>
          <w:rFonts w:ascii="Tw Cen MT" w:hAnsi="Tw Cen MT" w:cs="Utsaah"/>
          <w:sz w:val="20"/>
        </w:rPr>
        <w:t>.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 xml:space="preserve">In this procedure, neonatal rats </w:t>
      </w:r>
      <w:proofErr w:type="gramStart"/>
      <w:r w:rsidRPr="00E90CEF">
        <w:rPr>
          <w:rFonts w:ascii="Tw Cen MT" w:hAnsi="Tw Cen MT" w:cs="Utsaah"/>
          <w:sz w:val="20"/>
        </w:rPr>
        <w:t>are removed</w:t>
      </w:r>
      <w:proofErr w:type="gramEnd"/>
      <w:r w:rsidRPr="00E90CEF">
        <w:rPr>
          <w:rFonts w:ascii="Tw Cen MT" w:hAnsi="Tw Cen MT" w:cs="Utsaah"/>
          <w:sz w:val="20"/>
        </w:rPr>
        <w:t xml:space="preserve"> from the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>mother for several hours daily during the first 2 weeks of life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>(</w:t>
      </w:r>
      <w:proofErr w:type="spellStart"/>
      <w:r w:rsidRPr="00E90CEF">
        <w:rPr>
          <w:rFonts w:ascii="Tw Cen MT" w:hAnsi="Tw Cen MT" w:cs="Utsaah"/>
          <w:sz w:val="20"/>
        </w:rPr>
        <w:t>Plotsky</w:t>
      </w:r>
      <w:proofErr w:type="spellEnd"/>
      <w:r w:rsidRPr="00E90CEF">
        <w:rPr>
          <w:rFonts w:ascii="Tw Cen MT" w:hAnsi="Tw Cen MT" w:cs="Utsaah"/>
          <w:sz w:val="20"/>
        </w:rPr>
        <w:t xml:space="preserve"> and </w:t>
      </w:r>
      <w:proofErr w:type="spellStart"/>
      <w:r w:rsidRPr="00E90CEF">
        <w:rPr>
          <w:rFonts w:ascii="Tw Cen MT" w:hAnsi="Tw Cen MT" w:cs="Utsaah"/>
          <w:sz w:val="20"/>
        </w:rPr>
        <w:t>Meaney</w:t>
      </w:r>
      <w:proofErr w:type="spellEnd"/>
      <w:r w:rsidRPr="00E90CEF">
        <w:rPr>
          <w:rFonts w:ascii="Tw Cen MT" w:hAnsi="Tw Cen MT" w:cs="Utsaah"/>
          <w:sz w:val="20"/>
        </w:rPr>
        <w:t xml:space="preserve">, 1993; </w:t>
      </w:r>
      <w:proofErr w:type="spellStart"/>
      <w:r w:rsidRPr="00E90CEF">
        <w:rPr>
          <w:rFonts w:ascii="Tw Cen MT" w:hAnsi="Tw Cen MT" w:cs="Utsaah"/>
          <w:sz w:val="20"/>
        </w:rPr>
        <w:t>Wigger</w:t>
      </w:r>
      <w:proofErr w:type="spellEnd"/>
      <w:r w:rsidRPr="00E90CEF">
        <w:rPr>
          <w:rFonts w:ascii="Tw Cen MT" w:hAnsi="Tw Cen MT" w:cs="Utsaah"/>
          <w:sz w:val="20"/>
        </w:rPr>
        <w:t xml:space="preserve"> and Neumann, 1999;</w:t>
      </w:r>
      <w:r w:rsidRPr="00E90CEF">
        <w:rPr>
          <w:rFonts w:ascii="Tw Cen MT" w:hAnsi="Tw Cen MT" w:cs="Utsaah"/>
          <w:sz w:val="20"/>
        </w:rPr>
        <w:t xml:space="preserve"> </w:t>
      </w:r>
      <w:proofErr w:type="spellStart"/>
      <w:r w:rsidRPr="00E90CEF">
        <w:rPr>
          <w:rFonts w:ascii="Tw Cen MT" w:hAnsi="Tw Cen MT" w:cs="Utsaah"/>
          <w:sz w:val="20"/>
        </w:rPr>
        <w:t>Kalinichev</w:t>
      </w:r>
      <w:proofErr w:type="spellEnd"/>
      <w:r w:rsidRPr="00E90CEF">
        <w:rPr>
          <w:rFonts w:ascii="Tw Cen MT" w:hAnsi="Tw Cen MT" w:cs="Utsaah"/>
          <w:sz w:val="20"/>
        </w:rPr>
        <w:t xml:space="preserve"> et al., 2000; </w:t>
      </w:r>
      <w:proofErr w:type="spellStart"/>
      <w:r w:rsidRPr="00E90CEF">
        <w:rPr>
          <w:rFonts w:ascii="Tw Cen MT" w:hAnsi="Tw Cen MT" w:cs="Utsaah"/>
          <w:sz w:val="20"/>
        </w:rPr>
        <w:t>Huot</w:t>
      </w:r>
      <w:proofErr w:type="spellEnd"/>
      <w:r w:rsidRPr="00E90CEF">
        <w:rPr>
          <w:rFonts w:ascii="Tw Cen MT" w:hAnsi="Tw Cen MT" w:cs="Utsaah"/>
          <w:sz w:val="20"/>
        </w:rPr>
        <w:t xml:space="preserve"> et al., 2001; </w:t>
      </w:r>
      <w:proofErr w:type="spellStart"/>
      <w:r w:rsidRPr="00E90CEF">
        <w:rPr>
          <w:rFonts w:ascii="Tw Cen MT" w:hAnsi="Tw Cen MT" w:cs="Utsaah"/>
          <w:sz w:val="20"/>
        </w:rPr>
        <w:t>Boccia</w:t>
      </w:r>
      <w:proofErr w:type="spellEnd"/>
      <w:r w:rsidRPr="00E90CEF">
        <w:rPr>
          <w:rFonts w:ascii="Tw Cen MT" w:hAnsi="Tw Cen MT" w:cs="Utsaah"/>
          <w:sz w:val="20"/>
        </w:rPr>
        <w:t xml:space="preserve"> and</w:t>
      </w:r>
      <w:r w:rsidRPr="00E90CEF">
        <w:rPr>
          <w:rFonts w:ascii="Tw Cen MT" w:hAnsi="Tw Cen MT" w:cs="Utsaah"/>
          <w:sz w:val="20"/>
        </w:rPr>
        <w:t xml:space="preserve"> Pedersen, 2001).</w:t>
      </w:r>
    </w:p>
    <w:p w:rsidR="001C3ADE" w:rsidRPr="00E90CEF" w:rsidRDefault="00F51FB9" w:rsidP="00EA561E">
      <w:pPr>
        <w:pStyle w:val="ListBullet"/>
        <w:rPr>
          <w:rFonts w:ascii="Tw Cen MT" w:hAnsi="Tw Cen MT" w:cs="Utsaah"/>
          <w:sz w:val="20"/>
        </w:rPr>
      </w:pPr>
      <w:r w:rsidRPr="00E90CEF">
        <w:rPr>
          <w:rFonts w:ascii="Tw Cen MT" w:hAnsi="Tw Cen MT" w:cs="Utsaah"/>
          <w:sz w:val="20"/>
        </w:rPr>
        <w:t>When tested as adults, maternally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>separated (</w:t>
      </w:r>
      <w:r w:rsidRPr="00E90CEF">
        <w:rPr>
          <w:rFonts w:ascii="Tw Cen MT" w:hAnsi="Tw Cen MT" w:cs="Utsaah"/>
          <w:sz w:val="20"/>
          <w:highlight w:val="yellow"/>
        </w:rPr>
        <w:t>MS</w:t>
      </w:r>
      <w:r w:rsidRPr="00E90CEF">
        <w:rPr>
          <w:rFonts w:ascii="Tw Cen MT" w:hAnsi="Tw Cen MT" w:cs="Utsaah"/>
          <w:sz w:val="20"/>
        </w:rPr>
        <w:t xml:space="preserve">) adult offspring exhibit a cluster of </w:t>
      </w:r>
      <w:r w:rsidRPr="00E90CEF">
        <w:rPr>
          <w:rFonts w:ascii="Tw Cen MT" w:hAnsi="Tw Cen MT" w:cs="Utsaah"/>
          <w:sz w:val="20"/>
          <w:highlight w:val="yellow"/>
        </w:rPr>
        <w:t>behavioral</w:t>
      </w:r>
      <w:r w:rsidRPr="00E90CEF">
        <w:rPr>
          <w:rFonts w:ascii="Tw Cen MT" w:hAnsi="Tw Cen MT" w:cs="Utsaah"/>
          <w:sz w:val="20"/>
          <w:highlight w:val="yellow"/>
        </w:rPr>
        <w:t xml:space="preserve"> </w:t>
      </w:r>
      <w:r w:rsidRPr="00E90CEF">
        <w:rPr>
          <w:rFonts w:ascii="Tw Cen MT" w:hAnsi="Tw Cen MT" w:cs="Utsaah"/>
          <w:sz w:val="20"/>
          <w:highlight w:val="yellow"/>
        </w:rPr>
        <w:t>and neuroendocrine signs</w:t>
      </w:r>
      <w:r w:rsidRPr="00E90CEF">
        <w:rPr>
          <w:rFonts w:ascii="Tw Cen MT" w:hAnsi="Tw Cen MT" w:cs="Utsaah"/>
          <w:sz w:val="20"/>
        </w:rPr>
        <w:t xml:space="preserve"> similar to those observed in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  <w:highlight w:val="yellow"/>
        </w:rPr>
        <w:t>patients with depression and anxiety disorders</w:t>
      </w:r>
      <w:r w:rsidRPr="00E90CEF">
        <w:rPr>
          <w:rFonts w:ascii="Tw Cen MT" w:hAnsi="Tw Cen MT" w:cs="Utsaah"/>
          <w:sz w:val="20"/>
        </w:rPr>
        <w:t xml:space="preserve"> (Amsterdam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 xml:space="preserve">et al., 1987; </w:t>
      </w:r>
      <w:proofErr w:type="spellStart"/>
      <w:r w:rsidRPr="00E90CEF">
        <w:rPr>
          <w:rFonts w:ascii="Tw Cen MT" w:hAnsi="Tw Cen MT" w:cs="Utsaah"/>
          <w:sz w:val="20"/>
        </w:rPr>
        <w:t>Heit</w:t>
      </w:r>
      <w:proofErr w:type="spellEnd"/>
      <w:r w:rsidRPr="00E90CEF">
        <w:rPr>
          <w:rFonts w:ascii="Tw Cen MT" w:hAnsi="Tw Cen MT" w:cs="Utsaah"/>
          <w:sz w:val="20"/>
        </w:rPr>
        <w:t xml:space="preserve"> et al., 1997; Ladd et al., 2000).</w:t>
      </w:r>
    </w:p>
    <w:p w:rsidR="00EA561E" w:rsidRPr="00E90CEF" w:rsidRDefault="00E90CEF" w:rsidP="001C3ADE">
      <w:pPr>
        <w:pBdr>
          <w:bottom w:val="single" w:sz="4" w:space="1" w:color="auto"/>
        </w:pBdr>
        <w:rPr>
          <w:rFonts w:ascii="Tw Cen MT" w:hAnsi="Tw Cen MT" w:cs="Utsaah"/>
          <w:b/>
          <w:sz w:val="20"/>
        </w:rPr>
      </w:pPr>
      <w:proofErr w:type="spellStart"/>
      <w:r>
        <w:rPr>
          <w:rFonts w:ascii="Tw Cen MT" w:hAnsi="Tw Cen MT" w:cs="Utsaah"/>
          <w:b/>
          <w:sz w:val="20"/>
        </w:rPr>
        <w:t>Eerdere</w:t>
      </w:r>
      <w:proofErr w:type="spellEnd"/>
      <w:r>
        <w:rPr>
          <w:rFonts w:ascii="Tw Cen MT" w:hAnsi="Tw Cen MT" w:cs="Utsaah"/>
          <w:b/>
          <w:sz w:val="20"/>
        </w:rPr>
        <w:t xml:space="preserve"> </w:t>
      </w:r>
      <w:proofErr w:type="spellStart"/>
      <w:r>
        <w:rPr>
          <w:rFonts w:ascii="Tw Cen MT" w:hAnsi="Tw Cen MT" w:cs="Utsaah"/>
          <w:b/>
          <w:sz w:val="20"/>
        </w:rPr>
        <w:t>bevindingen</w:t>
      </w:r>
      <w:proofErr w:type="spellEnd"/>
    </w:p>
    <w:p w:rsidR="00EA561E" w:rsidRPr="00E90CEF" w:rsidRDefault="00EA561E" w:rsidP="00EA561E">
      <w:pPr>
        <w:rPr>
          <w:rFonts w:ascii="Tw Cen MT" w:hAnsi="Tw Cen MT" w:cs="Utsaah"/>
          <w:sz w:val="20"/>
        </w:rPr>
      </w:pPr>
      <w:proofErr w:type="spellStart"/>
      <w:r w:rsidRPr="00E90CEF">
        <w:rPr>
          <w:rFonts w:ascii="Tw Cen MT" w:hAnsi="Tw Cen MT" w:cs="Utsaah"/>
          <w:sz w:val="20"/>
        </w:rPr>
        <w:t>Aisa</w:t>
      </w:r>
      <w:proofErr w:type="spellEnd"/>
      <w:r w:rsidRPr="00E90CEF">
        <w:rPr>
          <w:rFonts w:ascii="Tw Cen MT" w:hAnsi="Tw Cen MT" w:cs="Utsaah"/>
          <w:sz w:val="20"/>
        </w:rPr>
        <w:t>:</w:t>
      </w:r>
    </w:p>
    <w:p w:rsidR="00EA561E" w:rsidRPr="00E90CEF" w:rsidRDefault="00EA561E" w:rsidP="00503CEA">
      <w:pPr>
        <w:pStyle w:val="ListBullet"/>
        <w:rPr>
          <w:rFonts w:ascii="Tw Cen MT" w:hAnsi="Tw Cen MT" w:cs="Utsaah"/>
          <w:sz w:val="20"/>
        </w:rPr>
      </w:pPr>
      <w:r w:rsidRPr="00E90CEF">
        <w:rPr>
          <w:rFonts w:ascii="Tw Cen MT" w:hAnsi="Tw Cen MT" w:cs="Utsaah"/>
          <w:sz w:val="20"/>
        </w:rPr>
        <w:t>MS rats show in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 xml:space="preserve">adulthood </w:t>
      </w:r>
    </w:p>
    <w:p w:rsidR="00EA561E" w:rsidRPr="00E90CEF" w:rsidRDefault="00EA561E" w:rsidP="00503CEA">
      <w:pPr>
        <w:pStyle w:val="ListBullet"/>
        <w:tabs>
          <w:tab w:val="clear" w:pos="360"/>
          <w:tab w:val="num" w:pos="720"/>
        </w:tabs>
        <w:ind w:left="720"/>
        <w:rPr>
          <w:rFonts w:ascii="Tw Cen MT" w:hAnsi="Tw Cen MT" w:cs="Utsaah"/>
          <w:sz w:val="20"/>
        </w:rPr>
      </w:pPr>
      <w:r w:rsidRPr="00E90CEF">
        <w:rPr>
          <w:rFonts w:ascii="Tw Cen MT" w:hAnsi="Tw Cen MT" w:cs="Utsaah"/>
          <w:sz w:val="20"/>
          <w:highlight w:val="yellow"/>
        </w:rPr>
        <w:t xml:space="preserve">depressive-like </w:t>
      </w:r>
      <w:proofErr w:type="spellStart"/>
      <w:r w:rsidRPr="00E90CEF">
        <w:rPr>
          <w:rFonts w:ascii="Tw Cen MT" w:hAnsi="Tw Cen MT" w:cs="Utsaah"/>
          <w:sz w:val="20"/>
          <w:highlight w:val="yellow"/>
        </w:rPr>
        <w:t>behaviour</w:t>
      </w:r>
      <w:proofErr w:type="spellEnd"/>
      <w:r w:rsidRPr="00E90CEF">
        <w:rPr>
          <w:rFonts w:ascii="Tw Cen MT" w:hAnsi="Tw Cen MT" w:cs="Utsaah"/>
          <w:sz w:val="20"/>
          <w:highlight w:val="yellow"/>
        </w:rPr>
        <w:t xml:space="preserve"> in the forced swimming</w:t>
      </w:r>
      <w:r w:rsidRPr="00E90CEF">
        <w:rPr>
          <w:rFonts w:ascii="Tw Cen MT" w:hAnsi="Tw Cen MT" w:cs="Utsaah"/>
          <w:sz w:val="20"/>
          <w:highlight w:val="yellow"/>
        </w:rPr>
        <w:t xml:space="preserve"> </w:t>
      </w:r>
      <w:r w:rsidRPr="00E90CEF">
        <w:rPr>
          <w:rFonts w:ascii="Tw Cen MT" w:hAnsi="Tw Cen MT" w:cs="Utsaah"/>
          <w:sz w:val="20"/>
          <w:highlight w:val="yellow"/>
        </w:rPr>
        <w:t>test</w:t>
      </w:r>
      <w:r w:rsidRPr="00E90CEF">
        <w:rPr>
          <w:rFonts w:ascii="Tw Cen MT" w:hAnsi="Tw Cen MT" w:cs="Utsaah"/>
          <w:sz w:val="20"/>
        </w:rPr>
        <w:t xml:space="preserve"> (</w:t>
      </w:r>
      <w:proofErr w:type="spellStart"/>
      <w:r w:rsidRPr="00E90CEF">
        <w:rPr>
          <w:rFonts w:ascii="Tw Cen MT" w:hAnsi="Tw Cen MT" w:cs="Utsaah"/>
          <w:sz w:val="20"/>
        </w:rPr>
        <w:t>Willner</w:t>
      </w:r>
      <w:proofErr w:type="spellEnd"/>
      <w:r w:rsidRPr="00E90CEF">
        <w:rPr>
          <w:rFonts w:ascii="Tw Cen MT" w:hAnsi="Tw Cen MT" w:cs="Utsaah"/>
          <w:sz w:val="20"/>
        </w:rPr>
        <w:t xml:space="preserve">, 1990; </w:t>
      </w:r>
      <w:proofErr w:type="spellStart"/>
      <w:r w:rsidRPr="00E90CEF">
        <w:rPr>
          <w:rFonts w:ascii="Tw Cen MT" w:hAnsi="Tw Cen MT" w:cs="Utsaah"/>
          <w:sz w:val="20"/>
        </w:rPr>
        <w:t>Plotsky</w:t>
      </w:r>
      <w:proofErr w:type="spellEnd"/>
      <w:r w:rsidRPr="00E90CEF">
        <w:rPr>
          <w:rFonts w:ascii="Tw Cen MT" w:hAnsi="Tw Cen MT" w:cs="Utsaah"/>
          <w:sz w:val="20"/>
        </w:rPr>
        <w:t xml:space="preserve"> et al., 1998; Hall, 1998; Ladd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 xml:space="preserve">et al., 2000), </w:t>
      </w:r>
    </w:p>
    <w:p w:rsidR="00EA561E" w:rsidRPr="00E90CEF" w:rsidRDefault="00EA561E" w:rsidP="00503CEA">
      <w:pPr>
        <w:pStyle w:val="ListBullet"/>
        <w:ind w:left="720"/>
        <w:rPr>
          <w:rFonts w:ascii="Tw Cen MT" w:hAnsi="Tw Cen MT" w:cs="Utsaah"/>
          <w:sz w:val="20"/>
        </w:rPr>
      </w:pPr>
      <w:proofErr w:type="spellStart"/>
      <w:r w:rsidRPr="00E90CEF">
        <w:rPr>
          <w:rFonts w:ascii="Tw Cen MT" w:hAnsi="Tw Cen MT" w:cs="Utsaah"/>
          <w:sz w:val="20"/>
          <w:highlight w:val="yellow"/>
        </w:rPr>
        <w:t>anhedonic</w:t>
      </w:r>
      <w:proofErr w:type="spellEnd"/>
      <w:r w:rsidRPr="00E90CEF">
        <w:rPr>
          <w:rFonts w:ascii="Tw Cen MT" w:hAnsi="Tw Cen MT" w:cs="Utsaah"/>
          <w:sz w:val="20"/>
          <w:highlight w:val="yellow"/>
        </w:rPr>
        <w:t xml:space="preserve"> </w:t>
      </w:r>
      <w:proofErr w:type="spellStart"/>
      <w:r w:rsidRPr="00E90CEF">
        <w:rPr>
          <w:rFonts w:ascii="Tw Cen MT" w:hAnsi="Tw Cen MT" w:cs="Utsaah"/>
          <w:sz w:val="20"/>
          <w:highlight w:val="yellow"/>
        </w:rPr>
        <w:t>behaviour</w:t>
      </w:r>
      <w:proofErr w:type="spellEnd"/>
      <w:r w:rsidRPr="00E90CEF">
        <w:rPr>
          <w:rFonts w:ascii="Tw Cen MT" w:hAnsi="Tw Cen MT" w:cs="Utsaah"/>
          <w:sz w:val="20"/>
        </w:rPr>
        <w:t xml:space="preserve"> (</w:t>
      </w:r>
      <w:proofErr w:type="spellStart"/>
      <w:r w:rsidRPr="00E90CEF">
        <w:rPr>
          <w:rFonts w:ascii="Tw Cen MT" w:hAnsi="Tw Cen MT" w:cs="Utsaah"/>
          <w:sz w:val="20"/>
        </w:rPr>
        <w:t>Willner</w:t>
      </w:r>
      <w:proofErr w:type="spellEnd"/>
      <w:r w:rsidRPr="00E90CEF">
        <w:rPr>
          <w:rFonts w:ascii="Tw Cen MT" w:hAnsi="Tw Cen MT" w:cs="Utsaah"/>
          <w:sz w:val="20"/>
        </w:rPr>
        <w:t xml:space="preserve"> et al., 1987;</w:t>
      </w:r>
      <w:r w:rsidRPr="00E90CEF">
        <w:rPr>
          <w:rFonts w:ascii="Tw Cen MT" w:hAnsi="Tw Cen MT" w:cs="Utsaah"/>
          <w:sz w:val="20"/>
        </w:rPr>
        <w:t xml:space="preserve"> </w:t>
      </w:r>
      <w:proofErr w:type="spellStart"/>
      <w:r w:rsidRPr="00E90CEF">
        <w:rPr>
          <w:rFonts w:ascii="Tw Cen MT" w:hAnsi="Tw Cen MT" w:cs="Utsaah"/>
          <w:sz w:val="20"/>
        </w:rPr>
        <w:t>Zurita</w:t>
      </w:r>
      <w:proofErr w:type="spellEnd"/>
      <w:r w:rsidRPr="00E90CEF">
        <w:rPr>
          <w:rFonts w:ascii="Tw Cen MT" w:hAnsi="Tw Cen MT" w:cs="Utsaah"/>
          <w:sz w:val="20"/>
        </w:rPr>
        <w:t xml:space="preserve"> and Molina, 1999; </w:t>
      </w:r>
      <w:proofErr w:type="spellStart"/>
      <w:r w:rsidRPr="00E90CEF">
        <w:rPr>
          <w:rFonts w:ascii="Tw Cen MT" w:hAnsi="Tw Cen MT" w:cs="Utsaah"/>
          <w:sz w:val="20"/>
        </w:rPr>
        <w:t>Huot</w:t>
      </w:r>
      <w:proofErr w:type="spellEnd"/>
      <w:r w:rsidRPr="00E90CEF">
        <w:rPr>
          <w:rFonts w:ascii="Tw Cen MT" w:hAnsi="Tw Cen MT" w:cs="Utsaah"/>
          <w:sz w:val="20"/>
        </w:rPr>
        <w:t xml:space="preserve"> et al., 2001) and </w:t>
      </w:r>
    </w:p>
    <w:p w:rsidR="00EA561E" w:rsidRPr="00E90CEF" w:rsidRDefault="00EA561E" w:rsidP="00503CEA">
      <w:pPr>
        <w:pStyle w:val="ListBullet"/>
        <w:ind w:left="720"/>
        <w:rPr>
          <w:rFonts w:ascii="Tw Cen MT" w:hAnsi="Tw Cen MT" w:cs="Utsaah"/>
          <w:sz w:val="20"/>
        </w:rPr>
      </w:pPr>
      <w:r w:rsidRPr="00E90CEF">
        <w:rPr>
          <w:rFonts w:ascii="Tw Cen MT" w:hAnsi="Tw Cen MT" w:cs="Utsaah"/>
          <w:sz w:val="20"/>
        </w:rPr>
        <w:t>anxiety</w:t>
      </w:r>
      <w:r w:rsidRPr="00E90CEF">
        <w:rPr>
          <w:rFonts w:ascii="Tw Cen MT" w:hAnsi="Tw Cen MT" w:cs="Utsaah"/>
          <w:sz w:val="20"/>
        </w:rPr>
        <w:t xml:space="preserve"> </w:t>
      </w:r>
      <w:proofErr w:type="spellStart"/>
      <w:r w:rsidRPr="00E90CEF">
        <w:rPr>
          <w:rFonts w:ascii="Tw Cen MT" w:hAnsi="Tw Cen MT" w:cs="Utsaah"/>
          <w:sz w:val="20"/>
        </w:rPr>
        <w:t>behaviour</w:t>
      </w:r>
      <w:proofErr w:type="spellEnd"/>
      <w:r w:rsidRPr="00E90CEF">
        <w:rPr>
          <w:rFonts w:ascii="Tw Cen MT" w:hAnsi="Tw Cen MT" w:cs="Utsaah"/>
          <w:sz w:val="20"/>
        </w:rPr>
        <w:t xml:space="preserve"> (</w:t>
      </w:r>
      <w:proofErr w:type="spellStart"/>
      <w:r w:rsidRPr="00E90CEF">
        <w:rPr>
          <w:rFonts w:ascii="Tw Cen MT" w:hAnsi="Tw Cen MT" w:cs="Utsaah"/>
          <w:sz w:val="20"/>
        </w:rPr>
        <w:t>Wigger</w:t>
      </w:r>
      <w:proofErr w:type="spellEnd"/>
      <w:r w:rsidRPr="00E90CEF">
        <w:rPr>
          <w:rFonts w:ascii="Tw Cen MT" w:hAnsi="Tw Cen MT" w:cs="Utsaah"/>
          <w:sz w:val="20"/>
        </w:rPr>
        <w:t xml:space="preserve"> and Neumann, 1999; </w:t>
      </w:r>
      <w:proofErr w:type="spellStart"/>
      <w:r w:rsidRPr="00E90CEF">
        <w:rPr>
          <w:rFonts w:ascii="Tw Cen MT" w:hAnsi="Tw Cen MT" w:cs="Utsaah"/>
          <w:sz w:val="20"/>
        </w:rPr>
        <w:t>Huot</w:t>
      </w:r>
      <w:proofErr w:type="spellEnd"/>
      <w:r w:rsidRPr="00E90CEF">
        <w:rPr>
          <w:rFonts w:ascii="Tw Cen MT" w:hAnsi="Tw Cen MT" w:cs="Utsaah"/>
          <w:sz w:val="20"/>
        </w:rPr>
        <w:t xml:space="preserve"> et al., 2000),</w:t>
      </w:r>
    </w:p>
    <w:p w:rsidR="00EA561E" w:rsidRPr="00E90CEF" w:rsidRDefault="00EA561E" w:rsidP="00503CEA">
      <w:pPr>
        <w:pStyle w:val="ListBullet"/>
        <w:ind w:left="720"/>
        <w:rPr>
          <w:rFonts w:ascii="Tw Cen MT" w:hAnsi="Tw Cen MT" w:cs="Utsaah"/>
          <w:sz w:val="20"/>
        </w:rPr>
      </w:pPr>
      <w:r w:rsidRPr="00E90CEF">
        <w:rPr>
          <w:rFonts w:ascii="Tw Cen MT" w:hAnsi="Tw Cen MT" w:cs="Utsaah"/>
          <w:sz w:val="20"/>
          <w:highlight w:val="yellow"/>
        </w:rPr>
        <w:t>increased HPA axis responsiveness to stressors</w:t>
      </w:r>
      <w:r w:rsidRPr="00E90CEF">
        <w:rPr>
          <w:rFonts w:ascii="Tw Cen MT" w:hAnsi="Tw Cen MT" w:cs="Utsaah"/>
          <w:sz w:val="20"/>
        </w:rPr>
        <w:t xml:space="preserve"> (Rosenfeld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 xml:space="preserve">et al., 1992; </w:t>
      </w:r>
      <w:proofErr w:type="spellStart"/>
      <w:r w:rsidRPr="00E90CEF">
        <w:rPr>
          <w:rFonts w:ascii="Tw Cen MT" w:hAnsi="Tw Cen MT" w:cs="Utsaah"/>
          <w:sz w:val="20"/>
        </w:rPr>
        <w:t>Plotsky</w:t>
      </w:r>
      <w:proofErr w:type="spellEnd"/>
      <w:r w:rsidRPr="00E90CEF">
        <w:rPr>
          <w:rFonts w:ascii="Tw Cen MT" w:hAnsi="Tw Cen MT" w:cs="Utsaah"/>
          <w:sz w:val="20"/>
        </w:rPr>
        <w:t xml:space="preserve"> and Meany, 1993; Ladd et al., 1996;</w:t>
      </w:r>
      <w:r w:rsidRPr="00E90CEF">
        <w:rPr>
          <w:rFonts w:ascii="Tw Cen MT" w:hAnsi="Tw Cen MT" w:cs="Utsaah"/>
          <w:sz w:val="20"/>
        </w:rPr>
        <w:t xml:space="preserve"> </w:t>
      </w:r>
      <w:proofErr w:type="spellStart"/>
      <w:r w:rsidRPr="00E90CEF">
        <w:rPr>
          <w:rFonts w:ascii="Tw Cen MT" w:hAnsi="Tw Cen MT" w:cs="Utsaah"/>
          <w:sz w:val="20"/>
        </w:rPr>
        <w:t>Wigger</w:t>
      </w:r>
      <w:proofErr w:type="spellEnd"/>
      <w:r w:rsidRPr="00E90CEF">
        <w:rPr>
          <w:rFonts w:ascii="Tw Cen MT" w:hAnsi="Tw Cen MT" w:cs="Utsaah"/>
          <w:sz w:val="20"/>
        </w:rPr>
        <w:t xml:space="preserve"> and Neumann, 1999) </w:t>
      </w:r>
      <w:r w:rsidRPr="00E90CEF">
        <w:rPr>
          <w:rFonts w:ascii="Tw Cen MT" w:hAnsi="Tw Cen MT" w:cs="Utsaah"/>
          <w:sz w:val="20"/>
        </w:rPr>
        <w:t>and</w:t>
      </w:r>
    </w:p>
    <w:p w:rsidR="00891B0C" w:rsidRPr="00E90CEF" w:rsidRDefault="00EA561E" w:rsidP="00891B0C">
      <w:pPr>
        <w:pStyle w:val="ListBullet"/>
        <w:ind w:left="720"/>
        <w:rPr>
          <w:rFonts w:ascii="Tw Cen MT" w:hAnsi="Tw Cen MT" w:cs="Utsaah"/>
          <w:sz w:val="20"/>
        </w:rPr>
      </w:pPr>
      <w:proofErr w:type="gramStart"/>
      <w:r w:rsidRPr="00E90CEF">
        <w:rPr>
          <w:rFonts w:ascii="Tw Cen MT" w:hAnsi="Tw Cen MT" w:cs="Utsaah"/>
          <w:sz w:val="20"/>
          <w:highlight w:val="yellow"/>
        </w:rPr>
        <w:t>elevated</w:t>
      </w:r>
      <w:proofErr w:type="gramEnd"/>
      <w:r w:rsidRPr="00E90CEF">
        <w:rPr>
          <w:rFonts w:ascii="Tw Cen MT" w:hAnsi="Tw Cen MT" w:cs="Utsaah"/>
          <w:sz w:val="20"/>
          <w:highlight w:val="yellow"/>
        </w:rPr>
        <w:t xml:space="preserve"> CRF mRNA in the</w:t>
      </w:r>
      <w:r w:rsidRPr="00E90CEF">
        <w:rPr>
          <w:rFonts w:ascii="Tw Cen MT" w:hAnsi="Tw Cen MT" w:cs="Utsaah"/>
          <w:sz w:val="20"/>
          <w:highlight w:val="yellow"/>
        </w:rPr>
        <w:t xml:space="preserve"> </w:t>
      </w:r>
      <w:r w:rsidRPr="00E90CEF">
        <w:rPr>
          <w:rFonts w:ascii="Tw Cen MT" w:hAnsi="Tw Cen MT" w:cs="Utsaah"/>
          <w:sz w:val="20"/>
          <w:highlight w:val="yellow"/>
        </w:rPr>
        <w:t>PVN</w:t>
      </w:r>
      <w:r w:rsidRPr="00E90CEF">
        <w:rPr>
          <w:rFonts w:ascii="Tw Cen MT" w:hAnsi="Tw Cen MT" w:cs="Utsaah"/>
          <w:sz w:val="20"/>
        </w:rPr>
        <w:t xml:space="preserve"> (</w:t>
      </w:r>
      <w:proofErr w:type="spellStart"/>
      <w:r w:rsidRPr="00E90CEF">
        <w:rPr>
          <w:rFonts w:ascii="Tw Cen MT" w:hAnsi="Tw Cen MT" w:cs="Utsaah"/>
          <w:sz w:val="20"/>
        </w:rPr>
        <w:t>Plotsky</w:t>
      </w:r>
      <w:proofErr w:type="spellEnd"/>
      <w:r w:rsidRPr="00E90CEF">
        <w:rPr>
          <w:rFonts w:ascii="Tw Cen MT" w:hAnsi="Tw Cen MT" w:cs="Utsaah"/>
          <w:sz w:val="20"/>
        </w:rPr>
        <w:t xml:space="preserve"> and Meany, 1993; Ladd et al., 1996).</w:t>
      </w:r>
    </w:p>
    <w:p w:rsidR="00C95349" w:rsidRPr="00E90CEF" w:rsidRDefault="00C95349" w:rsidP="00891B0C">
      <w:pPr>
        <w:rPr>
          <w:rFonts w:ascii="Tw Cen MT" w:hAnsi="Tw Cen MT" w:cs="Utsaah"/>
          <w:sz w:val="20"/>
        </w:rPr>
      </w:pPr>
      <w:proofErr w:type="spellStart"/>
      <w:r w:rsidRPr="00E90CEF">
        <w:rPr>
          <w:rFonts w:ascii="Tw Cen MT" w:hAnsi="Tw Cen MT" w:cs="Utsaah"/>
          <w:sz w:val="20"/>
        </w:rPr>
        <w:t>Kalinichev</w:t>
      </w:r>
      <w:proofErr w:type="spellEnd"/>
      <w:r w:rsidRPr="00E90CEF">
        <w:rPr>
          <w:rFonts w:ascii="Tw Cen MT" w:hAnsi="Tw Cen MT" w:cs="Utsaah"/>
          <w:sz w:val="20"/>
        </w:rPr>
        <w:t>:</w:t>
      </w:r>
    </w:p>
    <w:p w:rsidR="00C95349" w:rsidRPr="00E90CEF" w:rsidRDefault="00C95349" w:rsidP="00C95349">
      <w:pPr>
        <w:pStyle w:val="ListBullet"/>
        <w:rPr>
          <w:rFonts w:ascii="Tw Cen MT" w:hAnsi="Tw Cen MT" w:cs="Utsaah"/>
          <w:sz w:val="20"/>
        </w:rPr>
      </w:pPr>
      <w:r w:rsidRPr="00E90CEF">
        <w:rPr>
          <w:rFonts w:ascii="Tw Cen MT" w:hAnsi="Tw Cen MT" w:cs="Utsaah"/>
          <w:sz w:val="20"/>
        </w:rPr>
        <w:t>A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 xml:space="preserve">primary feature of the </w:t>
      </w:r>
      <w:r w:rsidRPr="00E90CEF">
        <w:rPr>
          <w:rFonts w:ascii="Tw Cen MT" w:hAnsi="Tw Cen MT" w:cs="Utsaah"/>
          <w:sz w:val="20"/>
          <w:highlight w:val="yellow"/>
        </w:rPr>
        <w:t>MS</w:t>
      </w:r>
      <w:r w:rsidRPr="00E90CEF">
        <w:rPr>
          <w:rFonts w:ascii="Tw Cen MT" w:hAnsi="Tw Cen MT" w:cs="Utsaah"/>
          <w:sz w:val="20"/>
        </w:rPr>
        <w:t xml:space="preserve"> phenotype has been an enduring</w:t>
      </w:r>
      <w:r w:rsidRPr="00E90CEF">
        <w:rPr>
          <w:rFonts w:ascii="Tw Cen MT" w:hAnsi="Tw Cen MT" w:cs="Utsaah"/>
          <w:sz w:val="20"/>
        </w:rPr>
        <w:t xml:space="preserve"> </w:t>
      </w:r>
      <w:proofErr w:type="spellStart"/>
      <w:r w:rsidRPr="00E90CEF">
        <w:rPr>
          <w:rFonts w:ascii="Tw Cen MT" w:hAnsi="Tw Cen MT" w:cs="Utsaah"/>
          <w:sz w:val="20"/>
          <w:highlight w:val="yellow"/>
        </w:rPr>
        <w:t>dysregulation</w:t>
      </w:r>
      <w:proofErr w:type="spellEnd"/>
      <w:r w:rsidRPr="00E90CEF">
        <w:rPr>
          <w:rFonts w:ascii="Tw Cen MT" w:hAnsi="Tw Cen MT" w:cs="Utsaah"/>
          <w:sz w:val="20"/>
          <w:highlight w:val="yellow"/>
        </w:rPr>
        <w:t xml:space="preserve"> of hypothalamic–pituitary–adrenal (HPA)</w:t>
      </w:r>
      <w:r w:rsidRPr="00E90CEF">
        <w:rPr>
          <w:rFonts w:ascii="Tw Cen MT" w:hAnsi="Tw Cen MT" w:cs="Utsaah"/>
          <w:sz w:val="20"/>
          <w:highlight w:val="yellow"/>
        </w:rPr>
        <w:t xml:space="preserve"> </w:t>
      </w:r>
      <w:r w:rsidRPr="00E90CEF">
        <w:rPr>
          <w:rFonts w:ascii="Tw Cen MT" w:hAnsi="Tw Cen MT" w:cs="Utsaah"/>
          <w:sz w:val="20"/>
          <w:highlight w:val="yellow"/>
        </w:rPr>
        <w:t>axis reactivity to stress (</w:t>
      </w:r>
      <w:r w:rsidRPr="00E90CEF">
        <w:rPr>
          <w:rFonts w:ascii="Tw Cen MT" w:hAnsi="Tw Cen MT" w:cs="Utsaah"/>
          <w:sz w:val="20"/>
        </w:rPr>
        <w:t xml:space="preserve">Ladd et al., 2000; </w:t>
      </w:r>
      <w:proofErr w:type="spellStart"/>
      <w:r w:rsidRPr="00E90CEF">
        <w:rPr>
          <w:rFonts w:ascii="Tw Cen MT" w:hAnsi="Tw Cen MT" w:cs="Utsaah"/>
          <w:sz w:val="20"/>
        </w:rPr>
        <w:t>Caldji</w:t>
      </w:r>
      <w:proofErr w:type="spellEnd"/>
      <w:r w:rsidRPr="00E90CEF">
        <w:rPr>
          <w:rFonts w:ascii="Tw Cen MT" w:hAnsi="Tw Cen MT" w:cs="Utsaah"/>
          <w:sz w:val="20"/>
        </w:rPr>
        <w:t xml:space="preserve"> et al.,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>2001).</w:t>
      </w:r>
    </w:p>
    <w:p w:rsidR="00B50817" w:rsidRPr="00E90CEF" w:rsidRDefault="00B50817" w:rsidP="00B50817">
      <w:pPr>
        <w:pStyle w:val="ListBullet"/>
        <w:rPr>
          <w:rFonts w:ascii="Tw Cen MT" w:hAnsi="Tw Cen MT" w:cs="Utsaah"/>
          <w:sz w:val="20"/>
        </w:rPr>
      </w:pPr>
      <w:r w:rsidRPr="00E90CEF">
        <w:rPr>
          <w:rFonts w:ascii="Tw Cen MT" w:hAnsi="Tw Cen MT" w:cs="Utsaah"/>
          <w:sz w:val="20"/>
        </w:rPr>
        <w:t xml:space="preserve">MS males have </w:t>
      </w:r>
      <w:r w:rsidRPr="00E90CEF">
        <w:rPr>
          <w:rFonts w:ascii="Tw Cen MT" w:hAnsi="Tw Cen MT" w:cs="Utsaah"/>
          <w:sz w:val="20"/>
          <w:highlight w:val="yellow"/>
        </w:rPr>
        <w:t>elevated basal</w:t>
      </w:r>
      <w:r w:rsidRPr="00E90CEF">
        <w:rPr>
          <w:rFonts w:ascii="Tw Cen MT" w:hAnsi="Tw Cen MT" w:cs="Utsaah"/>
          <w:sz w:val="20"/>
          <w:highlight w:val="yellow"/>
        </w:rPr>
        <w:t xml:space="preserve"> </w:t>
      </w:r>
      <w:r w:rsidRPr="00E90CEF">
        <w:rPr>
          <w:rFonts w:ascii="Tw Cen MT" w:hAnsi="Tw Cen MT" w:cs="Utsaah"/>
          <w:sz w:val="20"/>
          <w:highlight w:val="yellow"/>
        </w:rPr>
        <w:t>CRF levels</w:t>
      </w:r>
      <w:r w:rsidRPr="00E90CEF">
        <w:rPr>
          <w:rFonts w:ascii="Tw Cen MT" w:hAnsi="Tw Cen MT" w:cs="Utsaah"/>
          <w:sz w:val="20"/>
        </w:rPr>
        <w:t xml:space="preserve"> in the median eminence and elevated levels of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 xml:space="preserve">the </w:t>
      </w:r>
      <w:r w:rsidRPr="00E90CEF">
        <w:rPr>
          <w:rFonts w:ascii="Tw Cen MT" w:hAnsi="Tw Cen MT" w:cs="Utsaah"/>
          <w:sz w:val="20"/>
          <w:highlight w:val="yellow"/>
        </w:rPr>
        <w:t>CRF mRNA</w:t>
      </w:r>
      <w:r w:rsidRPr="00E90CEF">
        <w:rPr>
          <w:rFonts w:ascii="Tw Cen MT" w:hAnsi="Tw Cen MT" w:cs="Utsaah"/>
          <w:sz w:val="20"/>
        </w:rPr>
        <w:t xml:space="preserve"> levels in the hypothalamus (</w:t>
      </w:r>
      <w:proofErr w:type="spellStart"/>
      <w:r w:rsidRPr="00E90CEF">
        <w:rPr>
          <w:rFonts w:ascii="Tw Cen MT" w:hAnsi="Tw Cen MT" w:cs="Utsaah"/>
          <w:sz w:val="20"/>
        </w:rPr>
        <w:t>Plotsky</w:t>
      </w:r>
      <w:proofErr w:type="spellEnd"/>
      <w:r w:rsidRPr="00E90CEF">
        <w:rPr>
          <w:rFonts w:ascii="Tw Cen MT" w:hAnsi="Tw Cen MT" w:cs="Utsaah"/>
          <w:sz w:val="20"/>
        </w:rPr>
        <w:t xml:space="preserve"> and</w:t>
      </w:r>
      <w:r w:rsidRPr="00E90CEF">
        <w:rPr>
          <w:rFonts w:ascii="Tw Cen MT" w:hAnsi="Tw Cen MT" w:cs="Utsaah"/>
          <w:sz w:val="20"/>
        </w:rPr>
        <w:t xml:space="preserve"> </w:t>
      </w:r>
      <w:proofErr w:type="spellStart"/>
      <w:r w:rsidRPr="00E90CEF">
        <w:rPr>
          <w:rFonts w:ascii="Tw Cen MT" w:hAnsi="Tw Cen MT" w:cs="Utsaah"/>
          <w:sz w:val="20"/>
        </w:rPr>
        <w:t>Meaney</w:t>
      </w:r>
      <w:proofErr w:type="spellEnd"/>
      <w:r w:rsidRPr="00E90CEF">
        <w:rPr>
          <w:rFonts w:ascii="Tw Cen MT" w:hAnsi="Tw Cen MT" w:cs="Utsaah"/>
          <w:sz w:val="20"/>
        </w:rPr>
        <w:t>, 1993).</w:t>
      </w:r>
    </w:p>
    <w:p w:rsidR="00F56DA5" w:rsidRPr="00E90CEF" w:rsidRDefault="00F56DA5" w:rsidP="00F56DA5">
      <w:pPr>
        <w:pStyle w:val="ListBullet"/>
        <w:rPr>
          <w:rFonts w:ascii="Tw Cen MT" w:hAnsi="Tw Cen MT" w:cs="Utsaah"/>
          <w:sz w:val="20"/>
        </w:rPr>
      </w:pPr>
      <w:r w:rsidRPr="00E90CEF">
        <w:rPr>
          <w:rFonts w:ascii="Tw Cen MT" w:hAnsi="Tw Cen MT" w:cs="Utsaah"/>
          <w:sz w:val="20"/>
        </w:rPr>
        <w:t>In response to stress, such as restraint or air-</w:t>
      </w:r>
      <w:r w:rsidRPr="00E90CEF">
        <w:rPr>
          <w:rFonts w:ascii="Tw Cen MT" w:hAnsi="Tw Cen MT" w:cs="Utsaah"/>
          <w:sz w:val="20"/>
        </w:rPr>
        <w:t xml:space="preserve">puff startle, MS males display a potentiation in </w:t>
      </w:r>
      <w:r w:rsidRPr="00E90CEF">
        <w:rPr>
          <w:rFonts w:ascii="Tw Cen MT" w:hAnsi="Tw Cen MT" w:cs="Utsaah"/>
          <w:sz w:val="20"/>
          <w:highlight w:val="yellow"/>
        </w:rPr>
        <w:t>ACTH</w:t>
      </w:r>
      <w:r w:rsidRPr="00E90CEF">
        <w:rPr>
          <w:rFonts w:ascii="Tw Cen MT" w:hAnsi="Tw Cen MT" w:cs="Utsaah"/>
          <w:sz w:val="20"/>
        </w:rPr>
        <w:t xml:space="preserve"> and</w:t>
      </w:r>
      <w:r w:rsidRPr="00E90CEF">
        <w:rPr>
          <w:rFonts w:ascii="Tw Cen MT" w:hAnsi="Tw Cen MT" w:cs="Utsaah"/>
          <w:sz w:val="20"/>
        </w:rPr>
        <w:t xml:space="preserve"> </w:t>
      </w:r>
      <w:proofErr w:type="spellStart"/>
      <w:r w:rsidRPr="00E90CEF">
        <w:rPr>
          <w:rFonts w:ascii="Tw Cen MT" w:hAnsi="Tw Cen MT" w:cs="Utsaah"/>
          <w:sz w:val="20"/>
        </w:rPr>
        <w:t>corticosterone</w:t>
      </w:r>
      <w:proofErr w:type="spellEnd"/>
      <w:r w:rsidRPr="00E90CEF">
        <w:rPr>
          <w:rFonts w:ascii="Tw Cen MT" w:hAnsi="Tw Cen MT" w:cs="Utsaah"/>
          <w:sz w:val="20"/>
        </w:rPr>
        <w:t xml:space="preserve"> (</w:t>
      </w:r>
      <w:r w:rsidRPr="00E90CEF">
        <w:rPr>
          <w:rFonts w:ascii="Tw Cen MT" w:hAnsi="Tw Cen MT" w:cs="Utsaah"/>
          <w:sz w:val="20"/>
          <w:highlight w:val="yellow"/>
        </w:rPr>
        <w:t>CORT</w:t>
      </w:r>
      <w:r w:rsidRPr="00E90CEF">
        <w:rPr>
          <w:rFonts w:ascii="Tw Cen MT" w:hAnsi="Tw Cen MT" w:cs="Utsaah"/>
          <w:sz w:val="20"/>
        </w:rPr>
        <w:t>) secretion compared to either H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>(restraint) or H and animals that received typical animal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 xml:space="preserve">husbandry (animal-facility reared, AFR; air-puff; </w:t>
      </w:r>
      <w:proofErr w:type="spellStart"/>
      <w:r w:rsidRPr="00E90CEF">
        <w:rPr>
          <w:rFonts w:ascii="Tw Cen MT" w:hAnsi="Tw Cen MT" w:cs="Utsaah"/>
          <w:sz w:val="20"/>
        </w:rPr>
        <w:t>Plotsky</w:t>
      </w:r>
      <w:proofErr w:type="spellEnd"/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 xml:space="preserve">and </w:t>
      </w:r>
      <w:proofErr w:type="spellStart"/>
      <w:r w:rsidRPr="00E90CEF">
        <w:rPr>
          <w:rFonts w:ascii="Tw Cen MT" w:hAnsi="Tw Cen MT" w:cs="Utsaah"/>
          <w:sz w:val="20"/>
        </w:rPr>
        <w:t>Meaney</w:t>
      </w:r>
      <w:proofErr w:type="spellEnd"/>
      <w:r w:rsidRPr="00E90CEF">
        <w:rPr>
          <w:rFonts w:ascii="Tw Cen MT" w:hAnsi="Tw Cen MT" w:cs="Utsaah"/>
          <w:sz w:val="20"/>
        </w:rPr>
        <w:t xml:space="preserve">, 1993; </w:t>
      </w:r>
      <w:proofErr w:type="spellStart"/>
      <w:r w:rsidRPr="00E90CEF">
        <w:rPr>
          <w:rFonts w:ascii="Tw Cen MT" w:hAnsi="Tw Cen MT" w:cs="Utsaah"/>
          <w:sz w:val="20"/>
        </w:rPr>
        <w:t>Huot</w:t>
      </w:r>
      <w:proofErr w:type="spellEnd"/>
      <w:r w:rsidRPr="00E90CEF">
        <w:rPr>
          <w:rFonts w:ascii="Tw Cen MT" w:hAnsi="Tw Cen MT" w:cs="Utsaah"/>
          <w:sz w:val="20"/>
        </w:rPr>
        <w:t xml:space="preserve"> et al., 2001).</w:t>
      </w:r>
    </w:p>
    <w:p w:rsidR="00F56DA5" w:rsidRPr="00E90CEF" w:rsidRDefault="00CA7E87" w:rsidP="00CA7E87">
      <w:pPr>
        <w:pStyle w:val="ListBullet"/>
        <w:rPr>
          <w:rFonts w:ascii="Tw Cen MT" w:hAnsi="Tw Cen MT" w:cs="Utsaah"/>
          <w:sz w:val="20"/>
        </w:rPr>
      </w:pPr>
      <w:r w:rsidRPr="00E90CEF">
        <w:rPr>
          <w:rFonts w:ascii="Tw Cen MT" w:hAnsi="Tw Cen MT" w:cs="Utsaah"/>
          <w:sz w:val="20"/>
        </w:rPr>
        <w:t>In accord with the neuroendocrine changes, there is some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>evidence of behavioral alterations in MS animals that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>resemble those observed in patients with affective disorders.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 xml:space="preserve">MS rats appear to exhibit increased </w:t>
      </w:r>
      <w:r w:rsidRPr="00E90CEF">
        <w:rPr>
          <w:rFonts w:ascii="Tw Cen MT" w:hAnsi="Tw Cen MT" w:cs="Utsaah"/>
          <w:sz w:val="20"/>
          <w:highlight w:val="yellow"/>
        </w:rPr>
        <w:t>anxiety-like behavior</w:t>
      </w:r>
      <w:r w:rsidRPr="00E90CEF">
        <w:rPr>
          <w:rFonts w:ascii="Tw Cen MT" w:hAnsi="Tw Cen MT" w:cs="Utsaah"/>
          <w:sz w:val="20"/>
        </w:rPr>
        <w:t>,</w:t>
      </w:r>
      <w:r w:rsidRPr="00E90CEF">
        <w:rPr>
          <w:rFonts w:ascii="Tw Cen MT" w:hAnsi="Tw Cen MT" w:cs="Utsaah"/>
          <w:sz w:val="20"/>
        </w:rPr>
        <w:t xml:space="preserve"> </w:t>
      </w:r>
      <w:proofErr w:type="spellStart"/>
      <w:r w:rsidRPr="00E90CEF">
        <w:rPr>
          <w:rFonts w:ascii="Tw Cen MT" w:hAnsi="Tw Cen MT" w:cs="Utsaah"/>
          <w:sz w:val="20"/>
          <w:highlight w:val="yellow"/>
        </w:rPr>
        <w:t>anhedonia</w:t>
      </w:r>
      <w:proofErr w:type="spellEnd"/>
      <w:r w:rsidRPr="00E90CEF">
        <w:rPr>
          <w:rFonts w:ascii="Tw Cen MT" w:hAnsi="Tw Cen MT" w:cs="Utsaah"/>
          <w:sz w:val="20"/>
        </w:rPr>
        <w:t xml:space="preserve">, increased preference for </w:t>
      </w:r>
      <w:r w:rsidRPr="00E90CEF">
        <w:rPr>
          <w:rFonts w:ascii="Tw Cen MT" w:hAnsi="Tw Cen MT" w:cs="Utsaah"/>
          <w:sz w:val="20"/>
          <w:highlight w:val="yellow"/>
        </w:rPr>
        <w:t>ethanol</w:t>
      </w:r>
      <w:r w:rsidRPr="00E90CEF">
        <w:rPr>
          <w:rFonts w:ascii="Tw Cen MT" w:hAnsi="Tw Cen MT" w:cs="Utsaah"/>
          <w:sz w:val="20"/>
        </w:rPr>
        <w:t xml:space="preserve"> and impairment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 xml:space="preserve">in male </w:t>
      </w:r>
      <w:r w:rsidRPr="00E90CEF">
        <w:rPr>
          <w:rFonts w:ascii="Tw Cen MT" w:hAnsi="Tw Cen MT" w:cs="Utsaah"/>
          <w:sz w:val="20"/>
          <w:highlight w:val="yellow"/>
        </w:rPr>
        <w:t>sexual behavior</w:t>
      </w:r>
      <w:r w:rsidRPr="00E90CEF">
        <w:rPr>
          <w:rFonts w:ascii="Tw Cen MT" w:hAnsi="Tw Cen MT" w:cs="Utsaah"/>
          <w:sz w:val="20"/>
        </w:rPr>
        <w:t xml:space="preserve"> (</w:t>
      </w:r>
      <w:proofErr w:type="spellStart"/>
      <w:r w:rsidRPr="00E90CEF">
        <w:rPr>
          <w:rFonts w:ascii="Tw Cen MT" w:hAnsi="Tw Cen MT" w:cs="Utsaah"/>
          <w:sz w:val="20"/>
        </w:rPr>
        <w:t>Wigger</w:t>
      </w:r>
      <w:proofErr w:type="spellEnd"/>
      <w:r w:rsidRPr="00E90CEF">
        <w:rPr>
          <w:rFonts w:ascii="Tw Cen MT" w:hAnsi="Tw Cen MT" w:cs="Utsaah"/>
          <w:sz w:val="20"/>
        </w:rPr>
        <w:t xml:space="preserve"> and Neumann, 1999;</w:t>
      </w:r>
      <w:r w:rsidRPr="00E90CEF">
        <w:rPr>
          <w:rFonts w:ascii="Tw Cen MT" w:hAnsi="Tw Cen MT" w:cs="Utsaah"/>
          <w:sz w:val="20"/>
        </w:rPr>
        <w:t xml:space="preserve"> </w:t>
      </w:r>
      <w:proofErr w:type="spellStart"/>
      <w:r w:rsidRPr="00E90CEF">
        <w:rPr>
          <w:rFonts w:ascii="Tw Cen MT" w:hAnsi="Tw Cen MT" w:cs="Utsaah"/>
          <w:sz w:val="20"/>
        </w:rPr>
        <w:t>Caldji</w:t>
      </w:r>
      <w:proofErr w:type="spellEnd"/>
      <w:r w:rsidRPr="00E90CEF">
        <w:rPr>
          <w:rFonts w:ascii="Tw Cen MT" w:hAnsi="Tw Cen MT" w:cs="Utsaah"/>
          <w:sz w:val="20"/>
        </w:rPr>
        <w:t xml:space="preserve"> et al., 2000; Ladd et at., 2000; </w:t>
      </w:r>
      <w:proofErr w:type="spellStart"/>
      <w:r w:rsidRPr="00E90CEF">
        <w:rPr>
          <w:rFonts w:ascii="Tw Cen MT" w:hAnsi="Tw Cen MT" w:cs="Utsaah"/>
          <w:sz w:val="20"/>
        </w:rPr>
        <w:t>Huot</w:t>
      </w:r>
      <w:proofErr w:type="spellEnd"/>
      <w:r w:rsidRPr="00E90CEF">
        <w:rPr>
          <w:rFonts w:ascii="Tw Cen MT" w:hAnsi="Tw Cen MT" w:cs="Utsaah"/>
          <w:sz w:val="20"/>
        </w:rPr>
        <w:t xml:space="preserve"> et al., 2001;</w:t>
      </w:r>
      <w:r w:rsidRPr="00E90CEF">
        <w:rPr>
          <w:rFonts w:ascii="Tw Cen MT" w:hAnsi="Tw Cen MT" w:cs="Utsaah"/>
          <w:sz w:val="20"/>
        </w:rPr>
        <w:t xml:space="preserve"> </w:t>
      </w:r>
      <w:proofErr w:type="spellStart"/>
      <w:r w:rsidRPr="00E90CEF">
        <w:rPr>
          <w:rFonts w:ascii="Tw Cen MT" w:hAnsi="Tw Cen MT" w:cs="Utsaah"/>
          <w:sz w:val="20"/>
        </w:rPr>
        <w:t>Rhees</w:t>
      </w:r>
      <w:proofErr w:type="spellEnd"/>
      <w:r w:rsidRPr="00E90CEF">
        <w:rPr>
          <w:rFonts w:ascii="Tw Cen MT" w:hAnsi="Tw Cen MT" w:cs="Utsaah"/>
          <w:sz w:val="20"/>
        </w:rPr>
        <w:t xml:space="preserve"> et al., 2001).</w:t>
      </w:r>
    </w:p>
    <w:p w:rsidR="00C642C1" w:rsidRPr="00E90CEF" w:rsidRDefault="00E90CEF" w:rsidP="00C642C1">
      <w:pPr>
        <w:pBdr>
          <w:bottom w:val="single" w:sz="4" w:space="1" w:color="auto"/>
        </w:pBdr>
        <w:rPr>
          <w:rFonts w:ascii="Tw Cen MT" w:hAnsi="Tw Cen MT" w:cs="Utsaah"/>
          <w:b/>
          <w:sz w:val="20"/>
        </w:rPr>
      </w:pPr>
      <w:proofErr w:type="spellStart"/>
      <w:r>
        <w:rPr>
          <w:rFonts w:ascii="Tw Cen MT" w:hAnsi="Tw Cen MT" w:cs="Utsaah"/>
          <w:b/>
          <w:sz w:val="20"/>
        </w:rPr>
        <w:t>Wetenschappelijke</w:t>
      </w:r>
      <w:proofErr w:type="spellEnd"/>
      <w:r>
        <w:rPr>
          <w:rFonts w:ascii="Tw Cen MT" w:hAnsi="Tw Cen MT" w:cs="Utsaah"/>
          <w:b/>
          <w:sz w:val="20"/>
        </w:rPr>
        <w:t xml:space="preserve"> </w:t>
      </w:r>
      <w:proofErr w:type="spellStart"/>
      <w:r>
        <w:rPr>
          <w:rFonts w:ascii="Tw Cen MT" w:hAnsi="Tw Cen MT" w:cs="Utsaah"/>
          <w:b/>
          <w:sz w:val="20"/>
        </w:rPr>
        <w:t>relevantie</w:t>
      </w:r>
      <w:proofErr w:type="spellEnd"/>
    </w:p>
    <w:p w:rsidR="00C642C1" w:rsidRPr="00E90CEF" w:rsidRDefault="00C642C1" w:rsidP="00891B0C">
      <w:pPr>
        <w:rPr>
          <w:rFonts w:ascii="Tw Cen MT" w:hAnsi="Tw Cen MT" w:cs="Utsaah"/>
          <w:sz w:val="20"/>
        </w:rPr>
      </w:pPr>
      <w:proofErr w:type="spellStart"/>
      <w:r w:rsidRPr="00E90CEF">
        <w:rPr>
          <w:rFonts w:ascii="Tw Cen MT" w:hAnsi="Tw Cen MT" w:cs="Utsaah"/>
          <w:sz w:val="20"/>
        </w:rPr>
        <w:t>Kalinichev</w:t>
      </w:r>
      <w:proofErr w:type="spellEnd"/>
      <w:r w:rsidRPr="00E90CEF">
        <w:rPr>
          <w:rFonts w:ascii="Tw Cen MT" w:hAnsi="Tw Cen MT" w:cs="Utsaah"/>
          <w:sz w:val="20"/>
        </w:rPr>
        <w:t>:</w:t>
      </w:r>
    </w:p>
    <w:p w:rsidR="00C642C1" w:rsidRPr="00E90CEF" w:rsidRDefault="00C642C1" w:rsidP="00C642C1">
      <w:pPr>
        <w:pStyle w:val="ListBullet"/>
        <w:rPr>
          <w:rFonts w:ascii="Tw Cen MT" w:hAnsi="Tw Cen MT" w:cs="Utsaah"/>
          <w:sz w:val="20"/>
        </w:rPr>
      </w:pPr>
      <w:r w:rsidRPr="00E90CEF">
        <w:rPr>
          <w:rFonts w:ascii="Tw Cen MT" w:hAnsi="Tw Cen MT" w:cs="Utsaah"/>
          <w:sz w:val="20"/>
        </w:rPr>
        <w:t>The increased interest in the paradigm of maternal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>separation by several laboratories also has resulted in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  <w:highlight w:val="yellow"/>
        </w:rPr>
        <w:t>discrepancies among findings</w:t>
      </w:r>
      <w:r w:rsidRPr="00E90CEF">
        <w:rPr>
          <w:rFonts w:ascii="Tw Cen MT" w:hAnsi="Tw Cen MT" w:cs="Utsaah"/>
          <w:sz w:val="20"/>
        </w:rPr>
        <w:t>, especially concerning behavioral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 xml:space="preserve">signs of anxiety in MS animals (Lehmann and </w:t>
      </w:r>
      <w:proofErr w:type="spellStart"/>
      <w:r w:rsidRPr="00E90CEF">
        <w:rPr>
          <w:rFonts w:ascii="Tw Cen MT" w:hAnsi="Tw Cen MT" w:cs="Utsaah"/>
          <w:sz w:val="20"/>
        </w:rPr>
        <w:t>Feldon</w:t>
      </w:r>
      <w:proofErr w:type="spellEnd"/>
      <w:r w:rsidRPr="00E90CEF">
        <w:rPr>
          <w:rFonts w:ascii="Tw Cen MT" w:hAnsi="Tw Cen MT" w:cs="Utsaah"/>
          <w:sz w:val="20"/>
        </w:rPr>
        <w:t>,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>2000).</w:t>
      </w:r>
    </w:p>
    <w:p w:rsidR="009B6C99" w:rsidRPr="00E90CEF" w:rsidRDefault="009B6C99" w:rsidP="009B6C99">
      <w:pPr>
        <w:pStyle w:val="ListBullet"/>
        <w:rPr>
          <w:rFonts w:ascii="Tw Cen MT" w:hAnsi="Tw Cen MT" w:cs="Utsaah"/>
          <w:sz w:val="20"/>
        </w:rPr>
      </w:pPr>
      <w:r w:rsidRPr="00E90CEF">
        <w:rPr>
          <w:rFonts w:ascii="Tw Cen MT" w:hAnsi="Tw Cen MT" w:cs="Utsaah"/>
          <w:sz w:val="20"/>
        </w:rPr>
        <w:t xml:space="preserve">According to some authors, MS </w:t>
      </w:r>
      <w:proofErr w:type="gramStart"/>
      <w:r w:rsidRPr="00E90CEF">
        <w:rPr>
          <w:rFonts w:ascii="Tw Cen MT" w:hAnsi="Tw Cen MT" w:cs="Utsaah"/>
          <w:sz w:val="20"/>
        </w:rPr>
        <w:t>males</w:t>
      </w:r>
      <w:proofErr w:type="gramEnd"/>
      <w:r w:rsidRPr="00E90CEF">
        <w:rPr>
          <w:rFonts w:ascii="Tw Cen MT" w:hAnsi="Tw Cen MT" w:cs="Utsaah"/>
          <w:sz w:val="20"/>
        </w:rPr>
        <w:t xml:space="preserve"> exhibit </w:t>
      </w:r>
      <w:r w:rsidRPr="00E90CEF">
        <w:rPr>
          <w:rFonts w:ascii="Tw Cen MT" w:hAnsi="Tw Cen MT" w:cs="Utsaah"/>
          <w:sz w:val="20"/>
          <w:highlight w:val="yellow"/>
        </w:rPr>
        <w:t>increased</w:t>
      </w:r>
      <w:r w:rsidRPr="00E90CEF">
        <w:rPr>
          <w:rFonts w:ascii="Tw Cen MT" w:hAnsi="Tw Cen MT" w:cs="Utsaah"/>
          <w:sz w:val="20"/>
          <w:highlight w:val="yellow"/>
        </w:rPr>
        <w:t xml:space="preserve"> </w:t>
      </w:r>
      <w:r w:rsidRPr="00E90CEF">
        <w:rPr>
          <w:rFonts w:ascii="Tw Cen MT" w:hAnsi="Tw Cen MT" w:cs="Utsaah"/>
          <w:sz w:val="20"/>
          <w:highlight w:val="yellow"/>
        </w:rPr>
        <w:t>anxiety</w:t>
      </w:r>
      <w:r w:rsidRPr="00E90CEF">
        <w:rPr>
          <w:rFonts w:ascii="Tw Cen MT" w:hAnsi="Tw Cen MT" w:cs="Utsaah"/>
          <w:sz w:val="20"/>
        </w:rPr>
        <w:t xml:space="preserve"> compared to NH males, as indicated by decreased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>open-field activity and increased likelihood of approaching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>food in a novel arena when food deprived (Ogawa et al.,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 xml:space="preserve">1994; </w:t>
      </w:r>
      <w:proofErr w:type="spellStart"/>
      <w:r w:rsidRPr="00E90CEF">
        <w:rPr>
          <w:rFonts w:ascii="Tw Cen MT" w:hAnsi="Tw Cen MT" w:cs="Utsaah"/>
          <w:sz w:val="20"/>
        </w:rPr>
        <w:t>Caldji</w:t>
      </w:r>
      <w:proofErr w:type="spellEnd"/>
      <w:r w:rsidRPr="00E90CEF">
        <w:rPr>
          <w:rFonts w:ascii="Tw Cen MT" w:hAnsi="Tw Cen MT" w:cs="Utsaah"/>
          <w:sz w:val="20"/>
        </w:rPr>
        <w:t xml:space="preserve"> et al., 2000). However, in </w:t>
      </w:r>
      <w:r w:rsidRPr="00E90CEF">
        <w:rPr>
          <w:rFonts w:ascii="Tw Cen MT" w:hAnsi="Tw Cen MT" w:cs="Utsaah"/>
          <w:sz w:val="20"/>
          <w:highlight w:val="yellow"/>
        </w:rPr>
        <w:t>other measures</w:t>
      </w:r>
      <w:r w:rsidRPr="00E90CEF">
        <w:rPr>
          <w:rFonts w:ascii="Tw Cen MT" w:hAnsi="Tw Cen MT" w:cs="Utsaah"/>
          <w:sz w:val="20"/>
        </w:rPr>
        <w:t xml:space="preserve"> of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>novelty-induced suppression of feeding and in the plus-maze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 xml:space="preserve">test, </w:t>
      </w:r>
      <w:proofErr w:type="gramStart"/>
      <w:r w:rsidRPr="00E90CEF">
        <w:rPr>
          <w:rFonts w:ascii="Tw Cen MT" w:hAnsi="Tw Cen MT" w:cs="Utsaah"/>
          <w:sz w:val="20"/>
          <w:highlight w:val="yellow"/>
        </w:rPr>
        <w:t>MS</w:t>
      </w:r>
      <w:proofErr w:type="gramEnd"/>
      <w:r w:rsidRPr="00E90CEF">
        <w:rPr>
          <w:rFonts w:ascii="Tw Cen MT" w:hAnsi="Tw Cen MT" w:cs="Utsaah"/>
          <w:sz w:val="20"/>
          <w:highlight w:val="yellow"/>
        </w:rPr>
        <w:t xml:space="preserve"> and NH males are similar</w:t>
      </w:r>
      <w:r w:rsidRPr="00E90CEF">
        <w:rPr>
          <w:rFonts w:ascii="Tw Cen MT" w:hAnsi="Tw Cen MT" w:cs="Utsaah"/>
          <w:sz w:val="20"/>
        </w:rPr>
        <w:t xml:space="preserve"> (McIntosh et al., 1999;</w:t>
      </w:r>
      <w:r w:rsidRPr="00E90CEF">
        <w:rPr>
          <w:rFonts w:ascii="Tw Cen MT" w:hAnsi="Tw Cen MT" w:cs="Utsaah"/>
          <w:sz w:val="20"/>
        </w:rPr>
        <w:t xml:space="preserve"> </w:t>
      </w:r>
      <w:proofErr w:type="spellStart"/>
      <w:r w:rsidRPr="00E90CEF">
        <w:rPr>
          <w:rFonts w:ascii="Tw Cen MT" w:hAnsi="Tw Cen MT" w:cs="Utsaah"/>
          <w:sz w:val="20"/>
        </w:rPr>
        <w:t>Caldji</w:t>
      </w:r>
      <w:proofErr w:type="spellEnd"/>
      <w:r w:rsidRPr="00E90CEF">
        <w:rPr>
          <w:rFonts w:ascii="Tw Cen MT" w:hAnsi="Tw Cen MT" w:cs="Utsaah"/>
          <w:sz w:val="20"/>
        </w:rPr>
        <w:t xml:space="preserve"> et al., 2000).</w:t>
      </w:r>
    </w:p>
    <w:p w:rsidR="00E90CEF" w:rsidRPr="00E90CEF" w:rsidRDefault="00FD75E8" w:rsidP="00E90CEF">
      <w:pPr>
        <w:pStyle w:val="ListBullet"/>
        <w:rPr>
          <w:rFonts w:ascii="Tw Cen MT" w:hAnsi="Tw Cen MT" w:cs="Utsaah"/>
          <w:sz w:val="20"/>
        </w:rPr>
      </w:pPr>
      <w:r w:rsidRPr="00E90CEF">
        <w:rPr>
          <w:rFonts w:ascii="Tw Cen MT" w:hAnsi="Tw Cen MT" w:cs="Utsaah"/>
          <w:sz w:val="20"/>
        </w:rPr>
        <w:t xml:space="preserve">Furthermore, plasma levels of </w:t>
      </w:r>
      <w:r w:rsidRPr="00E90CEF">
        <w:rPr>
          <w:rFonts w:ascii="Tw Cen MT" w:hAnsi="Tw Cen MT" w:cs="Utsaah"/>
          <w:sz w:val="20"/>
          <w:highlight w:val="yellow"/>
        </w:rPr>
        <w:t>CORT and</w:t>
      </w:r>
      <w:r w:rsidRPr="00E90CEF">
        <w:rPr>
          <w:rFonts w:ascii="Tw Cen MT" w:hAnsi="Tw Cen MT" w:cs="Utsaah"/>
          <w:sz w:val="20"/>
          <w:highlight w:val="yellow"/>
        </w:rPr>
        <w:t xml:space="preserve"> </w:t>
      </w:r>
      <w:r w:rsidRPr="00E90CEF">
        <w:rPr>
          <w:rFonts w:ascii="Tw Cen MT" w:hAnsi="Tw Cen MT" w:cs="Utsaah"/>
          <w:sz w:val="20"/>
          <w:highlight w:val="yellow"/>
        </w:rPr>
        <w:t>ACTH following stress</w:t>
      </w:r>
      <w:r w:rsidRPr="00E90CEF">
        <w:rPr>
          <w:rFonts w:ascii="Tw Cen MT" w:hAnsi="Tw Cen MT" w:cs="Utsaah"/>
          <w:sz w:val="20"/>
        </w:rPr>
        <w:t xml:space="preserve"> are also similar in MS and NH males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>(</w:t>
      </w:r>
      <w:proofErr w:type="spellStart"/>
      <w:r w:rsidRPr="00E90CEF">
        <w:rPr>
          <w:rFonts w:ascii="Tw Cen MT" w:hAnsi="Tw Cen MT" w:cs="Utsaah"/>
          <w:sz w:val="20"/>
        </w:rPr>
        <w:t>Plotsky</w:t>
      </w:r>
      <w:proofErr w:type="spellEnd"/>
      <w:r w:rsidRPr="00E90CEF">
        <w:rPr>
          <w:rFonts w:ascii="Tw Cen MT" w:hAnsi="Tw Cen MT" w:cs="Utsaah"/>
          <w:sz w:val="20"/>
        </w:rPr>
        <w:t xml:space="preserve"> and </w:t>
      </w:r>
      <w:proofErr w:type="spellStart"/>
      <w:r w:rsidRPr="00E90CEF">
        <w:rPr>
          <w:rFonts w:ascii="Tw Cen MT" w:hAnsi="Tw Cen MT" w:cs="Utsaah"/>
          <w:sz w:val="20"/>
        </w:rPr>
        <w:t>Meaney</w:t>
      </w:r>
      <w:proofErr w:type="spellEnd"/>
      <w:r w:rsidRPr="00E90CEF">
        <w:rPr>
          <w:rFonts w:ascii="Tw Cen MT" w:hAnsi="Tw Cen MT" w:cs="Utsaah"/>
          <w:sz w:val="20"/>
        </w:rPr>
        <w:t>, 1993; Liu et al., 2000). According to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>others, plasma CORT levels during (Ogawa et al., 1994) or</w:t>
      </w:r>
      <w:r w:rsidRPr="00E90CEF">
        <w:rPr>
          <w:rFonts w:ascii="Tw Cen MT" w:hAnsi="Tw Cen MT" w:cs="Utsaah"/>
          <w:sz w:val="20"/>
        </w:rPr>
        <w:t xml:space="preserve"> </w:t>
      </w:r>
      <w:r w:rsidRPr="00E90CEF">
        <w:rPr>
          <w:rFonts w:ascii="Tw Cen MT" w:hAnsi="Tw Cen MT" w:cs="Utsaah"/>
          <w:sz w:val="20"/>
        </w:rPr>
        <w:t xml:space="preserve">following (Pryce et al., 2001) restraint stress are </w:t>
      </w:r>
      <w:r w:rsidRPr="00E90CEF">
        <w:rPr>
          <w:rFonts w:ascii="Tw Cen MT" w:hAnsi="Tw Cen MT" w:cs="Utsaah"/>
          <w:sz w:val="20"/>
          <w:highlight w:val="yellow"/>
        </w:rPr>
        <w:t>even higher</w:t>
      </w:r>
      <w:r w:rsidRPr="00E90CEF">
        <w:rPr>
          <w:rFonts w:ascii="Tw Cen MT" w:hAnsi="Tw Cen MT" w:cs="Utsaah"/>
          <w:sz w:val="20"/>
          <w:highlight w:val="yellow"/>
        </w:rPr>
        <w:t xml:space="preserve"> </w:t>
      </w:r>
      <w:r w:rsidRPr="00E90CEF">
        <w:rPr>
          <w:rFonts w:ascii="Tw Cen MT" w:hAnsi="Tw Cen MT" w:cs="Utsaah"/>
          <w:sz w:val="20"/>
          <w:highlight w:val="yellow"/>
        </w:rPr>
        <w:t>in NH</w:t>
      </w:r>
      <w:r w:rsidRPr="00E90CEF">
        <w:rPr>
          <w:rFonts w:ascii="Tw Cen MT" w:hAnsi="Tw Cen MT" w:cs="Utsaah"/>
          <w:sz w:val="20"/>
        </w:rPr>
        <w:t xml:space="preserve"> than in MS males.</w:t>
      </w:r>
      <w:bookmarkStart w:id="0" w:name="_GoBack"/>
      <w:bookmarkEnd w:id="0"/>
    </w:p>
    <w:sectPr w:rsidR="00E90CEF" w:rsidRPr="00E90C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6E2B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1E"/>
    <w:rsid w:val="00032579"/>
    <w:rsid w:val="00046784"/>
    <w:rsid w:val="001C3ADE"/>
    <w:rsid w:val="00387E0B"/>
    <w:rsid w:val="00503CEA"/>
    <w:rsid w:val="00751A6B"/>
    <w:rsid w:val="007720E4"/>
    <w:rsid w:val="00891B0C"/>
    <w:rsid w:val="008C4D9C"/>
    <w:rsid w:val="008F11B8"/>
    <w:rsid w:val="0094052D"/>
    <w:rsid w:val="009B6C99"/>
    <w:rsid w:val="00B50817"/>
    <w:rsid w:val="00C642C1"/>
    <w:rsid w:val="00C74D32"/>
    <w:rsid w:val="00C95349"/>
    <w:rsid w:val="00CA7E87"/>
    <w:rsid w:val="00D82B23"/>
    <w:rsid w:val="00E90CEF"/>
    <w:rsid w:val="00EA561E"/>
    <w:rsid w:val="00F51FB9"/>
    <w:rsid w:val="00F56DA5"/>
    <w:rsid w:val="00FD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EA561E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EA561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Harting</dc:creator>
  <cp:lastModifiedBy>Harting</cp:lastModifiedBy>
  <cp:revision>18</cp:revision>
  <dcterms:created xsi:type="dcterms:W3CDTF">2013-01-29T09:42:00Z</dcterms:created>
  <dcterms:modified xsi:type="dcterms:W3CDTF">2013-01-29T10:23:00Z</dcterms:modified>
</cp:coreProperties>
</file>