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AA" w:rsidRPr="004359AA" w:rsidRDefault="004359AA" w:rsidP="004359AA">
      <w:pPr>
        <w:spacing w:after="0" w:line="360" w:lineRule="auto"/>
        <w:contextualSpacing/>
        <w:rPr>
          <w:rFonts w:ascii="Palatino Linotype" w:eastAsia="Times New Roman" w:hAnsi="Palatino Linotype" w:cs="Times New Roman"/>
          <w:bCs/>
          <w:sz w:val="24"/>
          <w:szCs w:val="24"/>
        </w:rPr>
      </w:pPr>
      <w:r w:rsidRPr="004359AA">
        <w:rPr>
          <w:rFonts w:ascii="Palatino Linotype" w:eastAsia="Times New Roman" w:hAnsi="Palatino Linotype" w:cs="Times New Roman"/>
          <w:noProof/>
          <w:sz w:val="24"/>
          <w:szCs w:val="20"/>
          <w:lang w:eastAsia="nl-NL"/>
        </w:rPr>
        <mc:AlternateContent>
          <mc:Choice Requires="wps">
            <w:drawing>
              <wp:anchor distT="4294967295" distB="4294967295" distL="114300" distR="114300" simplePos="0" relativeHeight="251661312" behindDoc="0" locked="0" layoutInCell="1" allowOverlap="1" wp14:anchorId="2036170F" wp14:editId="3C607989">
                <wp:simplePos x="0" y="0"/>
                <wp:positionH relativeFrom="column">
                  <wp:posOffset>0</wp:posOffset>
                </wp:positionH>
                <wp:positionV relativeFrom="paragraph">
                  <wp:posOffset>249554</wp:posOffset>
                </wp:positionV>
                <wp:extent cx="5829935" cy="0"/>
                <wp:effectExtent l="0" t="0" r="3746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3502D2" id="Line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m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"/>
            </w:pict>
          </mc:Fallback>
        </mc:AlternateConten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r w:rsidRPr="004359AA">
        <w:rPr>
          <w:rFonts w:ascii="Palatino Linotype" w:eastAsia="Times New Roman" w:hAnsi="Palatino Linotype" w:cs="Times New Roman"/>
          <w:b/>
          <w:bCs/>
          <w:sz w:val="24"/>
          <w:szCs w:val="24"/>
          <w:lang w:eastAsia="x-none"/>
        </w:rPr>
        <w:t>Maternale separatie bij ratten en het effect op de stresreactie op latere leeftijd</w:t>
      </w:r>
      <w:r w:rsidRPr="004359AA">
        <w:rPr>
          <w:rFonts w:ascii="Palatino Linotype" w:eastAsia="Times New Roman" w:hAnsi="Palatino Linotype" w:cs="Times New Roman"/>
          <w:noProof/>
          <w:sz w:val="24"/>
          <w:szCs w:val="24"/>
          <w:lang w:eastAsia="nl-NL"/>
        </w:rPr>
        <mc:AlternateContent>
          <mc:Choice Requires="wps">
            <w:drawing>
              <wp:anchor distT="4294967295" distB="4294967295" distL="114300" distR="114300" simplePos="0" relativeHeight="251660288" behindDoc="0" locked="0" layoutInCell="1" allowOverlap="1" wp14:anchorId="561F6920" wp14:editId="52EA7BF0">
                <wp:simplePos x="0" y="0"/>
                <wp:positionH relativeFrom="column">
                  <wp:posOffset>0</wp:posOffset>
                </wp:positionH>
                <wp:positionV relativeFrom="paragraph">
                  <wp:posOffset>286384</wp:posOffset>
                </wp:positionV>
                <wp:extent cx="5829935" cy="0"/>
                <wp:effectExtent l="0" t="0" r="3746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A47270"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j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E7nk8XiaY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A03LjO&#10;EgIAACgEAAAOAAAAAAAAAAAAAAAAAC4CAABkcnMvZTJvRG9jLnhtbFBLAQItABQABgAIAAAAIQBo&#10;596R3AAAAAYBAAAPAAAAAAAAAAAAAAAAAGwEAABkcnMvZG93bnJldi54bWxQSwUGAAAAAAQABADz&#10;AAAAdQUAAAAA&#10;"/>
            </w:pict>
          </mc:Fallback>
        </mc:AlternateConten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r w:rsidRPr="004359AA">
        <w:rPr>
          <w:rFonts w:ascii="Palatino Linotype" w:eastAsia="Times New Roman" w:hAnsi="Palatino Linotype" w:cs="Times New Roman"/>
          <w:b/>
          <w:bCs/>
          <w:sz w:val="24"/>
          <w:szCs w:val="24"/>
          <w:lang w:eastAsia="x-none"/>
        </w:rPr>
        <w:t>Naam student: Jakobijn Strobbe</w: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r w:rsidRPr="004359AA">
        <w:rPr>
          <w:rFonts w:ascii="Palatino Linotype" w:eastAsia="Times New Roman" w:hAnsi="Palatino Linotype" w:cs="Times New Roman"/>
          <w:b/>
          <w:bCs/>
          <w:sz w:val="24"/>
          <w:szCs w:val="24"/>
          <w:lang w:eastAsia="x-none"/>
        </w:rPr>
        <w:t>UvAnetID: 10347305</w: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r w:rsidRPr="004359AA">
        <w:rPr>
          <w:rFonts w:ascii="Palatino Linotype" w:eastAsia="Times New Roman" w:hAnsi="Palatino Linotype" w:cs="Times New Roman"/>
          <w:b/>
          <w:bCs/>
          <w:sz w:val="24"/>
          <w:szCs w:val="24"/>
          <w:lang w:eastAsia="x-none"/>
        </w:rPr>
        <w:t>ABV groep: F</w:t>
      </w:r>
      <w:r w:rsidR="00222FC3">
        <w:rPr>
          <w:rFonts w:ascii="Palatino Linotype" w:eastAsia="Times New Roman" w:hAnsi="Palatino Linotype" w:cs="Times New Roman"/>
          <w:b/>
          <w:bCs/>
          <w:sz w:val="24"/>
          <w:szCs w:val="24"/>
          <w:lang w:eastAsia="x-none"/>
        </w:rPr>
        <w:t>4</w: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r w:rsidRPr="004359AA">
        <w:rPr>
          <w:rFonts w:ascii="Palatino Linotype" w:eastAsia="Times New Roman" w:hAnsi="Palatino Linotype" w:cs="Times New Roman"/>
          <w:b/>
          <w:bCs/>
          <w:sz w:val="24"/>
          <w:szCs w:val="24"/>
          <w:lang w:eastAsia="x-none"/>
        </w:rPr>
        <w:t>Naam docent: Lisette Harting</w: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r w:rsidRPr="004359AA">
        <w:rPr>
          <w:rFonts w:ascii="Palatino Linotype" w:eastAsia="Times New Roman" w:hAnsi="Palatino Linotype" w:cs="Times New Roman"/>
          <w:b/>
          <w:bCs/>
          <w:sz w:val="24"/>
          <w:szCs w:val="24"/>
          <w:lang w:eastAsia="x-none"/>
        </w:rPr>
        <w:t>Opdracht, v</w:t>
      </w:r>
      <w:r w:rsidR="00222FC3">
        <w:rPr>
          <w:rFonts w:ascii="Palatino Linotype" w:eastAsia="Times New Roman" w:hAnsi="Palatino Linotype" w:cs="Times New Roman"/>
          <w:b/>
          <w:bCs/>
          <w:sz w:val="24"/>
          <w:szCs w:val="24"/>
          <w:lang w:eastAsia="x-none"/>
        </w:rPr>
        <w:t>ersie: literatuurverslag, tweede</w:t>
      </w:r>
      <w:r w:rsidRPr="004359AA">
        <w:rPr>
          <w:rFonts w:ascii="Palatino Linotype" w:eastAsia="Times New Roman" w:hAnsi="Palatino Linotype" w:cs="Times New Roman"/>
          <w:b/>
          <w:bCs/>
          <w:sz w:val="24"/>
          <w:szCs w:val="24"/>
          <w:lang w:eastAsia="x-none"/>
        </w:rPr>
        <w:t xml:space="preserve"> versie </w:t>
      </w:r>
    </w:p>
    <w:p w:rsidR="004359AA" w:rsidRPr="004359AA" w:rsidRDefault="00222FC3"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r>
        <w:rPr>
          <w:rFonts w:ascii="Palatino Linotype" w:eastAsia="Times New Roman" w:hAnsi="Palatino Linotype" w:cs="Times New Roman"/>
          <w:b/>
          <w:bCs/>
          <w:sz w:val="24"/>
          <w:szCs w:val="24"/>
          <w:lang w:eastAsia="x-none"/>
        </w:rPr>
        <w:t>Inleverdatum: 14-0</w:t>
      </w:r>
      <w:bookmarkStart w:id="0" w:name="_GoBack"/>
      <w:bookmarkEnd w:id="0"/>
      <w:r w:rsidR="004359AA" w:rsidRPr="004359AA">
        <w:rPr>
          <w:rFonts w:ascii="Palatino Linotype" w:eastAsia="Times New Roman" w:hAnsi="Palatino Linotype" w:cs="Times New Roman"/>
          <w:b/>
          <w:bCs/>
          <w:sz w:val="24"/>
          <w:szCs w:val="24"/>
          <w:lang w:eastAsia="x-none"/>
        </w:rPr>
        <w:t>2-2012</w: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eastAsia="x-none"/>
        </w:rPr>
      </w:pPr>
      <w:r w:rsidRPr="004359AA">
        <w:rPr>
          <w:rFonts w:ascii="Palatino Linotype" w:eastAsia="Times New Roman" w:hAnsi="Palatino Linotype" w:cs="Times New Roman"/>
          <w:b/>
          <w:bCs/>
          <w:sz w:val="24"/>
          <w:szCs w:val="24"/>
          <w:lang w:eastAsia="x-none"/>
        </w:rPr>
        <w:t>Aantal woorden:</w:t>
      </w:r>
      <w:r w:rsidR="007B3E04">
        <w:rPr>
          <w:rFonts w:ascii="Palatino Linotype" w:eastAsia="Times New Roman" w:hAnsi="Palatino Linotype" w:cs="Times New Roman"/>
          <w:b/>
          <w:bCs/>
          <w:sz w:val="24"/>
          <w:szCs w:val="24"/>
          <w:lang w:eastAsia="x-none"/>
        </w:rPr>
        <w:t xml:space="preserve"> 1397</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p>
    <w:p w:rsidR="004359AA" w:rsidRPr="004359AA" w:rsidRDefault="004359AA" w:rsidP="004359AA">
      <w:pPr>
        <w:spacing w:after="0" w:line="360" w:lineRule="auto"/>
        <w:contextualSpacing/>
        <w:rPr>
          <w:rFonts w:ascii="Palatino Linotype" w:eastAsia="Times New Roman" w:hAnsi="Palatino Linotype" w:cs="Times New Roman"/>
          <w:b/>
          <w:sz w:val="24"/>
          <w:szCs w:val="24"/>
        </w:rPr>
      </w:pPr>
      <w:r w:rsidRPr="004359AA">
        <w:rPr>
          <w:rFonts w:ascii="Palatino Linotype" w:eastAsia="Times New Roman" w:hAnsi="Palatino Linotype" w:cs="Times New Roman"/>
          <w:noProof/>
          <w:sz w:val="24"/>
          <w:szCs w:val="20"/>
          <w:lang w:eastAsia="nl-NL"/>
        </w:rPr>
        <mc:AlternateContent>
          <mc:Choice Requires="wps">
            <w:drawing>
              <wp:anchor distT="4294967295" distB="4294967295" distL="114300" distR="114300" simplePos="0" relativeHeight="251659264" behindDoc="0" locked="0" layoutInCell="1" allowOverlap="1" wp14:anchorId="0E10D6D5" wp14:editId="27EACB7F">
                <wp:simplePos x="0" y="0"/>
                <wp:positionH relativeFrom="column">
                  <wp:posOffset>0</wp:posOffset>
                </wp:positionH>
                <wp:positionV relativeFrom="paragraph">
                  <wp:posOffset>102869</wp:posOffset>
                </wp:positionV>
                <wp:extent cx="5829935" cy="0"/>
                <wp:effectExtent l="0" t="0" r="3746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A87E0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dW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"/>
            </w:pict>
          </mc:Fallback>
        </mc:AlternateContent>
      </w:r>
    </w:p>
    <w:p w:rsidR="004359AA" w:rsidRPr="004359AA" w:rsidRDefault="004359AA" w:rsidP="004359AA">
      <w:pPr>
        <w:spacing w:after="0" w:line="360" w:lineRule="auto"/>
        <w:contextualSpacing/>
        <w:rPr>
          <w:rFonts w:ascii="Palatino Linotype" w:eastAsia="Times New Roman" w:hAnsi="Palatino Linotype" w:cs="Times New Roman"/>
          <w:b/>
          <w:sz w:val="24"/>
          <w:szCs w:val="24"/>
        </w:rPr>
      </w:pP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b/>
          <w:sz w:val="24"/>
          <w:szCs w:val="24"/>
        </w:rPr>
        <w:lastRenderedPageBreak/>
        <w:t>Maternale separati</w:t>
      </w:r>
      <w:r>
        <w:rPr>
          <w:rFonts w:ascii="Palatino Linotype" w:eastAsia="Times New Roman" w:hAnsi="Palatino Linotype" w:cs="Times New Roman"/>
          <w:b/>
          <w:sz w:val="24"/>
          <w:szCs w:val="24"/>
        </w:rPr>
        <w:t>e zorgt voor een heftigere stressreactie op latere leeftijd</w:t>
      </w:r>
      <w:r w:rsidRPr="004359AA">
        <w:rPr>
          <w:rFonts w:ascii="Palatino Linotype" w:eastAsia="Times New Roman" w:hAnsi="Palatino Linotype" w:cs="Times New Roman"/>
          <w:b/>
          <w:sz w:val="24"/>
          <w:szCs w:val="24"/>
        </w:rPr>
        <w:t xml:space="preserve"> </w:t>
      </w:r>
      <w:r w:rsidRPr="004359AA">
        <w:rPr>
          <w:rFonts w:ascii="Palatino Linotype" w:eastAsia="Times New Roman" w:hAnsi="Palatino Linotype" w:cs="Times New Roman"/>
          <w:sz w:val="24"/>
          <w:szCs w:val="24"/>
        </w:rPr>
        <w:t xml:space="preserve">Depressie is een groot probleem in onze maatschappij, er gaat veel leed mee gepaard en de kosten voor de economie worden hoog geschat. Door trauma tijdens de kindertijd neemt de kans op depressie op latere </w:t>
      </w:r>
      <w:r w:rsidR="00FF1018">
        <w:rPr>
          <w:rFonts w:ascii="Palatino Linotype" w:eastAsia="Times New Roman" w:hAnsi="Palatino Linotype" w:cs="Times New Roman"/>
          <w:sz w:val="24"/>
          <w:szCs w:val="24"/>
        </w:rPr>
        <w:t>leefijd toe. Bij ratten werd jeugd</w:t>
      </w:r>
      <w:r w:rsidRPr="004359AA">
        <w:rPr>
          <w:rFonts w:ascii="Palatino Linotype" w:eastAsia="Times New Roman" w:hAnsi="Palatino Linotype" w:cs="Times New Roman"/>
          <w:sz w:val="24"/>
          <w:szCs w:val="24"/>
        </w:rPr>
        <w:t xml:space="preserve">trauma </w:t>
      </w:r>
      <w:r>
        <w:rPr>
          <w:rFonts w:ascii="Palatino Linotype" w:eastAsia="Times New Roman" w:hAnsi="Palatino Linotype" w:cs="Times New Roman"/>
          <w:sz w:val="24"/>
          <w:szCs w:val="24"/>
        </w:rPr>
        <w:t>nagebootst</w:t>
      </w:r>
      <w:r w:rsidRPr="004359AA">
        <w:rPr>
          <w:rFonts w:ascii="Palatino Linotype" w:eastAsia="Times New Roman" w:hAnsi="Palatino Linotype" w:cs="Times New Roman"/>
          <w:sz w:val="24"/>
          <w:szCs w:val="24"/>
        </w:rPr>
        <w:t xml:space="preserve"> door ze op jonge leeftijd van hun moeder te scheiden voor meerdere uren per dag, dit een aantal weken lang. Deze scheiding heet maternal separatie (MS) (Kalinichev et al., 2002). Bij deze MS ratten zijn hogere concentraties van streshormonen (CORT en ACTH) gevonden na blootstelling aan stressoren.  Ook  een grotere activiteit van de HPA as in de hypothalamus werd geobserveerd (Liu et al., 2000; Huot el al., 2001 aangehaald in Kalinichev et al., 2002). Een grotere activiteit van de HPA as wordt ook in patienten met depressie waargenomen (review door Aborelius et al., 1999; de Kloet et al., 2005</w:t>
      </w:r>
      <w:r w:rsidR="0086750B">
        <w:rPr>
          <w:rFonts w:ascii="Palatino Linotype" w:eastAsia="Times New Roman" w:hAnsi="Palatino Linotype" w:cs="Times New Roman"/>
          <w:sz w:val="24"/>
          <w:szCs w:val="24"/>
        </w:rPr>
        <w:t>,</w:t>
      </w:r>
      <w:r w:rsidRPr="004359AA">
        <w:rPr>
          <w:rFonts w:ascii="Palatino Linotype" w:eastAsia="Times New Roman" w:hAnsi="Palatino Linotype" w:cs="Times New Roman"/>
          <w:sz w:val="24"/>
          <w:szCs w:val="24"/>
        </w:rPr>
        <w:t xml:space="preserve"> aangehaald in Aisa et al., 2006).</w:t>
      </w:r>
      <w:r w:rsidR="00CB4801">
        <w:rPr>
          <w:rFonts w:ascii="Palatino Linotype" w:eastAsia="Times New Roman" w:hAnsi="Palatino Linotype" w:cs="Times New Roman"/>
          <w:sz w:val="24"/>
          <w:szCs w:val="24"/>
        </w:rPr>
        <w:t xml:space="preserve"> Er zijn twee soorten stress response, fysiologische en gedragsmatige stressresponse.</w:t>
      </w:r>
      <w:r w:rsidR="00CB4801">
        <w:t xml:space="preserve">  </w:t>
      </w:r>
      <w:r w:rsidR="00CB4801" w:rsidRPr="00CB4801">
        <w:rPr>
          <w:rFonts w:ascii="Palatino Linotype" w:eastAsia="Times New Roman" w:hAnsi="Palatino Linotype" w:cs="Times New Roman"/>
          <w:sz w:val="24"/>
          <w:szCs w:val="24"/>
        </w:rPr>
        <w:t xml:space="preserve"> </w:t>
      </w:r>
      <w:r w:rsidR="00CB4801">
        <w:rPr>
          <w:rFonts w:ascii="Palatino Linotype" w:eastAsia="Times New Roman" w:hAnsi="Palatino Linotype" w:cs="Times New Roman"/>
          <w:sz w:val="24"/>
          <w:szCs w:val="24"/>
        </w:rPr>
        <w:t xml:space="preserve">Eerder onderzoek wees uit dat er niet altijd verschillen zijn in de stress response </w:t>
      </w:r>
      <w:r w:rsidR="0031394D">
        <w:rPr>
          <w:rFonts w:ascii="Palatino Linotype" w:eastAsia="Times New Roman" w:hAnsi="Palatino Linotype" w:cs="Times New Roman"/>
          <w:sz w:val="24"/>
          <w:szCs w:val="24"/>
        </w:rPr>
        <w:t xml:space="preserve">van MS ratten ten opzichte van normale ratten. </w:t>
      </w:r>
      <w:r w:rsidR="00CB4801" w:rsidRPr="00CB4801">
        <w:rPr>
          <w:rFonts w:ascii="Palatino Linotype" w:eastAsia="Times New Roman" w:hAnsi="Palatino Linotype" w:cs="Times New Roman"/>
          <w:sz w:val="24"/>
          <w:szCs w:val="24"/>
        </w:rPr>
        <w:t>(Plotsky and Meaney, 1993; Liu et al., 2000).</w:t>
      </w:r>
      <w:r w:rsidRPr="004359AA">
        <w:rPr>
          <w:rFonts w:ascii="Palatino Linotype" w:eastAsia="Times New Roman" w:hAnsi="Palatino Linotype" w:cs="Times New Roman"/>
          <w:sz w:val="24"/>
          <w:szCs w:val="24"/>
        </w:rPr>
        <w:t xml:space="preserve"> Het doel is om inzicht te krijgen in de manier waaro</w:t>
      </w:r>
      <w:r w:rsidR="00964581">
        <w:rPr>
          <w:rFonts w:ascii="Palatino Linotype" w:eastAsia="Times New Roman" w:hAnsi="Palatino Linotype" w:cs="Times New Roman"/>
          <w:sz w:val="24"/>
          <w:szCs w:val="24"/>
        </w:rPr>
        <w:t>p MS ratten reageren op stressoren</w:t>
      </w:r>
      <w:r w:rsidRPr="004359AA">
        <w:rPr>
          <w:rFonts w:ascii="Palatino Linotype" w:eastAsia="Times New Roman" w:hAnsi="Palatino Linotype" w:cs="Times New Roman"/>
          <w:sz w:val="24"/>
          <w:szCs w:val="24"/>
        </w:rPr>
        <w:t xml:space="preserve"> in vergelijking met normale ratten (Kalinichev et al., 2002). Za</w:t>
      </w:r>
      <w:r w:rsidR="00964581">
        <w:rPr>
          <w:rFonts w:ascii="Palatino Linotype" w:eastAsia="Times New Roman" w:hAnsi="Palatino Linotype" w:cs="Times New Roman"/>
          <w:sz w:val="24"/>
          <w:szCs w:val="24"/>
        </w:rPr>
        <w:t>l door MS de reactie op stressoren</w:t>
      </w:r>
      <w:r w:rsidRPr="004359AA">
        <w:rPr>
          <w:rFonts w:ascii="Palatino Linotype" w:eastAsia="Times New Roman" w:hAnsi="Palatino Linotype" w:cs="Times New Roman"/>
          <w:sz w:val="24"/>
          <w:szCs w:val="24"/>
        </w:rPr>
        <w:t xml:space="preserve"> bij volwassen MS ratten heftiger  zijn? (Kalinichev et al., 2002) </w:t>
      </w:r>
      <w:r w:rsidR="00671476">
        <w:rPr>
          <w:rFonts w:ascii="Palatino Linotype" w:eastAsia="Times New Roman" w:hAnsi="Palatino Linotype" w:cs="Times New Roman"/>
          <w:sz w:val="24"/>
          <w:szCs w:val="24"/>
        </w:rPr>
        <w:t xml:space="preserve">Zowel MS ratten als normale ratten werden in meerdere experimenten aan </w:t>
      </w:r>
      <w:r w:rsidR="008F7948">
        <w:rPr>
          <w:rFonts w:ascii="Palatino Linotype" w:eastAsia="Times New Roman" w:hAnsi="Palatino Linotype" w:cs="Times New Roman"/>
          <w:sz w:val="24"/>
          <w:szCs w:val="24"/>
        </w:rPr>
        <w:t xml:space="preserve">stressoren blootgesteld. De evaluatie van deze experimenten was afwisselend fysiologisch en gedragsmatig </w:t>
      </w:r>
      <w:r w:rsidRPr="004359AA">
        <w:rPr>
          <w:rFonts w:ascii="Palatino Linotype" w:eastAsia="Times New Roman" w:hAnsi="Palatino Linotype" w:cs="Times New Roman"/>
          <w:sz w:val="24"/>
          <w:szCs w:val="24"/>
        </w:rPr>
        <w:t>(Kalinichev et al., 2002; Aisa et al., 2006).</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p>
    <w:p w:rsidR="004359AA" w:rsidRPr="004359AA" w:rsidRDefault="004366D6" w:rsidP="004359AA">
      <w:pPr>
        <w:spacing w:after="0" w:line="360" w:lineRule="auto"/>
        <w:contextualSpacing/>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De gedragsmatige stressrespons van ratten.</w:t>
      </w:r>
    </w:p>
    <w:p w:rsidR="004359AA" w:rsidRPr="004359AA" w:rsidRDefault="004366D6"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Heeft MS invloed op de gedragsmatige stressrespons </w:t>
      </w:r>
      <w:r w:rsidR="004359AA" w:rsidRPr="004359AA">
        <w:rPr>
          <w:rFonts w:ascii="Palatino Linotype" w:eastAsia="Times New Roman" w:hAnsi="Palatino Linotype" w:cs="Times New Roman"/>
          <w:sz w:val="24"/>
          <w:szCs w:val="24"/>
        </w:rPr>
        <w:t>?  Een experiment dat</w:t>
      </w:r>
      <w:r>
        <w:rPr>
          <w:rFonts w:ascii="Palatino Linotype" w:eastAsia="Times New Roman" w:hAnsi="Palatino Linotype" w:cs="Times New Roman"/>
          <w:sz w:val="24"/>
          <w:szCs w:val="24"/>
        </w:rPr>
        <w:t xml:space="preserve"> werd gebruikt</w:t>
      </w:r>
      <w:r w:rsidR="004359AA" w:rsidRPr="004359AA">
        <w:rPr>
          <w:rFonts w:ascii="Palatino Linotype" w:eastAsia="Times New Roman" w:hAnsi="Palatino Linotype" w:cs="Times New Roman"/>
          <w:sz w:val="24"/>
          <w:szCs w:val="24"/>
        </w:rPr>
        <w:t xml:space="preserve"> om deze vraag te toetsen was gedwongen zwemmen. Zowel MS ratten als niet-MS ratten werden in een bad met water geplaatst  (19 cm in diameter en 45 cm hoog) gevuld met 28-30 cm water van 27 C. Twee zwemsessies werden vericht, eerst 15 minuten en 24 uur later 5 mi</w:t>
      </w:r>
      <w:r w:rsidR="00B647DE">
        <w:rPr>
          <w:rFonts w:ascii="Palatino Linotype" w:eastAsia="Times New Roman" w:hAnsi="Palatino Linotype" w:cs="Times New Roman"/>
          <w:sz w:val="24"/>
          <w:szCs w:val="24"/>
        </w:rPr>
        <w:t>nuten. Er werd geobserveerd hoe</w:t>
      </w:r>
      <w:r w:rsidR="004359AA" w:rsidRPr="004359AA">
        <w:rPr>
          <w:rFonts w:ascii="Palatino Linotype" w:eastAsia="Times New Roman" w:hAnsi="Palatino Linotype" w:cs="Times New Roman"/>
          <w:sz w:val="24"/>
          <w:szCs w:val="24"/>
        </w:rPr>
        <w:t xml:space="preserve">veel tijd de ratten </w:t>
      </w:r>
      <w:r w:rsidR="004359AA" w:rsidRPr="004359AA">
        <w:rPr>
          <w:rFonts w:ascii="Palatino Linotype" w:eastAsia="Times New Roman" w:hAnsi="Palatino Linotype" w:cs="Times New Roman"/>
          <w:sz w:val="24"/>
          <w:szCs w:val="24"/>
        </w:rPr>
        <w:lastRenderedPageBreak/>
        <w:t>immobiel doorbrachten en alleen kleine bewegingen maakten om boven water te blijven. Het bleek dat de MS ratten veel langer immobiel bleven vergeleken met de niet-MS ratten. Deze immobiliteit is een maat voor hoe snel een rat het opgeeft</w:t>
      </w:r>
      <w:r w:rsidR="00046C7A">
        <w:rPr>
          <w:rFonts w:ascii="Palatino Linotype" w:eastAsia="Times New Roman" w:hAnsi="Palatino Linotype" w:cs="Times New Roman"/>
          <w:sz w:val="24"/>
          <w:szCs w:val="24"/>
        </w:rPr>
        <w:t xml:space="preserve"> en dus voor de mate van reactie op de stressor</w:t>
      </w:r>
      <w:r w:rsidR="004359AA" w:rsidRPr="004359AA">
        <w:rPr>
          <w:rFonts w:ascii="Palatino Linotype" w:eastAsia="Times New Roman" w:hAnsi="Palatino Linotype" w:cs="Times New Roman"/>
          <w:sz w:val="24"/>
          <w:szCs w:val="24"/>
        </w:rPr>
        <w:t xml:space="preserve"> (Aisa et al., 2006). </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Vervolgens werd de sucrose inname van ratten gemeten. De groep MS ratten en niet-MS ratten werden beide getraind om een sucrose oplossing te drinken. Hierna werd hen 20 uur water en eten onthouden waarna ze konden drinken uit zowel een fles met sucrose oplossing als een fles met water, dit 1 uur lang. De consumptie water en sucrose werd gemeten en gecorigeerd voor het gewicht van de rat. De MS ratten dronken minder uit de sucrose oplossing dan de niet-MS ratten.</w:t>
      </w:r>
      <w:r w:rsidR="00046C7A">
        <w:rPr>
          <w:rFonts w:ascii="Palatino Linotype" w:eastAsia="Times New Roman" w:hAnsi="Palatino Linotype" w:cs="Times New Roman"/>
          <w:sz w:val="24"/>
          <w:szCs w:val="24"/>
        </w:rPr>
        <w:t xml:space="preserve"> Dit is een maat voor de mate waarin de ratten zichzelf willen belonen, stressgevoeligheid beinvloed zelfbeloning negatief</w:t>
      </w:r>
      <w:r w:rsidRPr="004359AA">
        <w:rPr>
          <w:rFonts w:ascii="Palatino Linotype" w:eastAsia="Times New Roman" w:hAnsi="Palatino Linotype" w:cs="Times New Roman"/>
          <w:sz w:val="24"/>
          <w:szCs w:val="24"/>
        </w:rPr>
        <w:t xml:space="preserve"> (Aisa et al., 2006).</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p>
    <w:p w:rsid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Ook werd de locomotor activiteit van de ratten in een verhoogd plusvormig doolhof  in een verlichte  kamer gemeten. De ratten werden in het midden geplaatst en kregen 5 minuten de tij</w:t>
      </w:r>
      <w:r w:rsidR="00A60ED2">
        <w:rPr>
          <w:rFonts w:ascii="Palatino Linotype" w:eastAsia="Times New Roman" w:hAnsi="Palatino Linotype" w:cs="Times New Roman"/>
          <w:sz w:val="24"/>
          <w:szCs w:val="24"/>
        </w:rPr>
        <w:t>d om het doolhof te verkennen.</w:t>
      </w:r>
      <w:r w:rsidR="00A60ED2" w:rsidRPr="00A60ED2">
        <w:t xml:space="preserve"> </w:t>
      </w:r>
      <w:r w:rsidR="00A60ED2">
        <w:rPr>
          <w:rFonts w:ascii="Palatino Linotype" w:eastAsia="Times New Roman" w:hAnsi="Palatino Linotype" w:cs="Times New Roman"/>
          <w:sz w:val="24"/>
          <w:szCs w:val="24"/>
        </w:rPr>
        <w:t>Bij Aisa was dit 10 minuten. Z</w:t>
      </w:r>
      <w:r w:rsidRPr="004359AA">
        <w:rPr>
          <w:rFonts w:ascii="Palatino Linotype" w:eastAsia="Times New Roman" w:hAnsi="Palatino Linotype" w:cs="Times New Roman"/>
          <w:sz w:val="24"/>
          <w:szCs w:val="24"/>
        </w:rPr>
        <w:t>e konden kiezen tussen verdu</w:t>
      </w:r>
      <w:r w:rsidR="00D12BA0">
        <w:rPr>
          <w:rFonts w:ascii="Palatino Linotype" w:eastAsia="Times New Roman" w:hAnsi="Palatino Linotype" w:cs="Times New Roman"/>
          <w:sz w:val="24"/>
          <w:szCs w:val="24"/>
        </w:rPr>
        <w:t>isterde of verlichte armen. D</w:t>
      </w:r>
      <w:r w:rsidRPr="004359AA">
        <w:rPr>
          <w:rFonts w:ascii="Palatino Linotype" w:eastAsia="Times New Roman" w:hAnsi="Palatino Linotype" w:cs="Times New Roman"/>
          <w:sz w:val="24"/>
          <w:szCs w:val="24"/>
        </w:rPr>
        <w:t xml:space="preserve">e tijd </w:t>
      </w:r>
      <w:r w:rsidR="00D12BA0">
        <w:rPr>
          <w:rFonts w:ascii="Palatino Linotype" w:eastAsia="Times New Roman" w:hAnsi="Palatino Linotype" w:cs="Times New Roman"/>
          <w:sz w:val="24"/>
          <w:szCs w:val="24"/>
        </w:rPr>
        <w:t>doorgebracht</w:t>
      </w:r>
      <w:r w:rsidRPr="004359AA">
        <w:rPr>
          <w:rFonts w:ascii="Palatino Linotype" w:eastAsia="Times New Roman" w:hAnsi="Palatino Linotype" w:cs="Times New Roman"/>
          <w:sz w:val="24"/>
          <w:szCs w:val="24"/>
        </w:rPr>
        <w:t xml:space="preserve"> op elke arm werd gemeten en als maat voor locomotor activiteit gebruikt.</w:t>
      </w:r>
      <w:r w:rsidR="00D12BA0">
        <w:rPr>
          <w:rFonts w:ascii="Palatino Linotype" w:eastAsia="Times New Roman" w:hAnsi="Palatino Linotype" w:cs="Times New Roman"/>
          <w:sz w:val="24"/>
          <w:szCs w:val="24"/>
        </w:rPr>
        <w:t xml:space="preserve"> Kalinichev keek ook naar hoe vaak de ratten de gesloten armen binnengingen </w:t>
      </w:r>
      <w:r w:rsidR="009F3637">
        <w:rPr>
          <w:rFonts w:ascii="Palatino Linotype" w:eastAsia="Times New Roman" w:hAnsi="Palatino Linotype" w:cs="Times New Roman"/>
          <w:sz w:val="24"/>
          <w:szCs w:val="24"/>
        </w:rPr>
        <w:t xml:space="preserve">De MS ratten betraden bij Kalinichev de gesloten armen minder vaak dan de normale ratten, dit verschil was </w:t>
      </w:r>
      <w:r w:rsidR="009F3637" w:rsidRPr="00C03AC4">
        <w:rPr>
          <w:rFonts w:ascii="Palatino Linotype" w:eastAsia="Times New Roman" w:hAnsi="Palatino Linotype" w:cs="Times New Roman"/>
          <w:sz w:val="24"/>
          <w:szCs w:val="24"/>
        </w:rPr>
        <w:t>significant</w:t>
      </w:r>
      <w:r w:rsidR="009F3637">
        <w:rPr>
          <w:rFonts w:ascii="Palatino Linotype" w:eastAsia="Times New Roman" w:hAnsi="Palatino Linotype" w:cs="Times New Roman"/>
          <w:sz w:val="24"/>
          <w:szCs w:val="24"/>
        </w:rPr>
        <w:t>. In beide onderzoeken</w:t>
      </w:r>
      <w:r w:rsidR="00D12BA0">
        <w:rPr>
          <w:rFonts w:ascii="Palatino Linotype" w:eastAsia="Times New Roman" w:hAnsi="Palatino Linotype" w:cs="Times New Roman"/>
          <w:sz w:val="24"/>
          <w:szCs w:val="24"/>
        </w:rPr>
        <w:t xml:space="preserve"> liepen de MS ratten</w:t>
      </w:r>
      <w:r w:rsidRPr="004359AA">
        <w:rPr>
          <w:rFonts w:ascii="Palatino Linotype" w:eastAsia="Times New Roman" w:hAnsi="Palatino Linotype" w:cs="Times New Roman"/>
          <w:sz w:val="24"/>
          <w:szCs w:val="24"/>
        </w:rPr>
        <w:t xml:space="preserve"> minder vaak de verlichte armen in</w:t>
      </w:r>
      <w:r w:rsidR="009F3637">
        <w:rPr>
          <w:rFonts w:ascii="Palatino Linotype" w:eastAsia="Times New Roman" w:hAnsi="Palatino Linotype" w:cs="Times New Roman"/>
          <w:sz w:val="24"/>
          <w:szCs w:val="24"/>
        </w:rPr>
        <w:t xml:space="preserve">, echter dit verschil was alleen bij Aisa </w:t>
      </w:r>
      <w:r w:rsidR="009F3637" w:rsidRPr="00C03AC4">
        <w:rPr>
          <w:rFonts w:ascii="Palatino Linotype" w:eastAsia="Times New Roman" w:hAnsi="Palatino Linotype" w:cs="Times New Roman"/>
          <w:sz w:val="24"/>
          <w:szCs w:val="24"/>
        </w:rPr>
        <w:t>significant</w:t>
      </w:r>
      <w:r w:rsidRPr="004359AA">
        <w:rPr>
          <w:rFonts w:ascii="Palatino Linotype" w:eastAsia="Times New Roman" w:hAnsi="Palatino Linotype" w:cs="Times New Roman"/>
          <w:sz w:val="24"/>
          <w:szCs w:val="24"/>
        </w:rPr>
        <w:t xml:space="preserve"> (Aisa et al., 2006, Kalinichev et al., 2002).</w:t>
      </w:r>
      <w:r w:rsidR="00D12BA0">
        <w:rPr>
          <w:rFonts w:ascii="Palatino Linotype" w:eastAsia="Times New Roman" w:hAnsi="Palatino Linotype" w:cs="Times New Roman"/>
          <w:sz w:val="24"/>
          <w:szCs w:val="24"/>
        </w:rPr>
        <w:t xml:space="preserve"> </w:t>
      </w:r>
    </w:p>
    <w:p w:rsidR="005962B4" w:rsidRDefault="005962B4" w:rsidP="004359AA">
      <w:pPr>
        <w:spacing w:after="0" w:line="360" w:lineRule="auto"/>
        <w:contextualSpacing/>
        <w:rPr>
          <w:rFonts w:ascii="Palatino Linotype" w:eastAsia="Times New Roman" w:hAnsi="Palatino Linotype" w:cs="Times New Roman"/>
          <w:sz w:val="24"/>
          <w:szCs w:val="24"/>
        </w:rPr>
      </w:pPr>
    </w:p>
    <w:p w:rsidR="005962B4" w:rsidRDefault="005962B4" w:rsidP="005962B4">
      <w:pPr>
        <w:spacing w:after="0" w:line="360" w:lineRule="auto"/>
        <w:contextualSpacing/>
        <w:rPr>
          <w:rFonts w:ascii="Palatino Linotype" w:eastAsia="Times New Roman" w:hAnsi="Palatino Linotype" w:cs="Times New Roman"/>
          <w:sz w:val="24"/>
          <w:szCs w:val="24"/>
        </w:rPr>
      </w:pPr>
      <w:r w:rsidRPr="005962B4">
        <w:rPr>
          <w:rFonts w:ascii="Palatino Linotype" w:eastAsia="Times New Roman" w:hAnsi="Palatino Linotype" w:cs="Times New Roman"/>
          <w:sz w:val="24"/>
          <w:szCs w:val="24"/>
        </w:rPr>
        <w:t>Ultrasonic vocalizations test</w:t>
      </w:r>
    </w:p>
    <w:p w:rsidR="005962B4" w:rsidRPr="005962B4" w:rsidRDefault="005962B4" w:rsidP="005962B4">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Ratten die zich bedreigd voelen laten dit merken door ‘Ultrasonic Vocalizations. Dit geluid heeft een sterkte van 22 kHZ. Als ratten zich niet bedreigd voelen zijn de geluiden die ze produceren 50 kHZ. Ratten werden blootgesteld aan een stressor in </w:t>
      </w:r>
      <w:r>
        <w:rPr>
          <w:rFonts w:ascii="Palatino Linotype" w:eastAsia="Times New Roman" w:hAnsi="Palatino Linotype" w:cs="Times New Roman"/>
          <w:sz w:val="24"/>
          <w:szCs w:val="24"/>
        </w:rPr>
        <w:lastRenderedPageBreak/>
        <w:t>de vorm van hard geluid</w:t>
      </w:r>
      <w:r w:rsidR="000B34D6">
        <w:rPr>
          <w:rFonts w:ascii="Palatino Linotype" w:eastAsia="Times New Roman" w:hAnsi="Palatino Linotype" w:cs="Times New Roman"/>
          <w:sz w:val="24"/>
          <w:szCs w:val="24"/>
        </w:rPr>
        <w:t>. Er werd gemeten welke ratten een geluid maakten tussen 20 en 28 kHZ. MS ratten maakten vaker een geluid tussen de 20 en 28 kHZ dan normale ratten. Er was echter geen significant verschil (Kalinichev et al., 2002).</w:t>
      </w:r>
    </w:p>
    <w:p w:rsidR="005962B4" w:rsidRPr="004359AA" w:rsidRDefault="005962B4" w:rsidP="004359AA">
      <w:pPr>
        <w:spacing w:after="0" w:line="360" w:lineRule="auto"/>
        <w:contextualSpacing/>
        <w:rPr>
          <w:rFonts w:ascii="Palatino Linotype" w:eastAsia="Times New Roman" w:hAnsi="Palatino Linotype" w:cs="Times New Roman"/>
          <w:sz w:val="24"/>
          <w:szCs w:val="24"/>
        </w:rPr>
      </w:pPr>
    </w:p>
    <w:p w:rsidR="004359AA" w:rsidRPr="004359AA" w:rsidRDefault="00D575CD"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De akkoe</w:t>
      </w:r>
      <w:r w:rsidR="004359AA" w:rsidRPr="004359AA">
        <w:rPr>
          <w:rFonts w:ascii="Palatino Linotype" w:eastAsia="Times New Roman" w:hAnsi="Palatino Linotype" w:cs="Times New Roman"/>
          <w:sz w:val="24"/>
          <w:szCs w:val="24"/>
        </w:rPr>
        <w:t>stische schrikreactie werd gemeten door ratten op een platform te zetten met luidsprekers ter hoogte van de oren. Eerst mochten de ratten 3 min</w:t>
      </w:r>
      <w:r>
        <w:rPr>
          <w:rFonts w:ascii="Palatino Linotype" w:eastAsia="Times New Roman" w:hAnsi="Palatino Linotype" w:cs="Times New Roman"/>
          <w:sz w:val="24"/>
          <w:szCs w:val="24"/>
        </w:rPr>
        <w:t>u</w:t>
      </w:r>
      <w:r w:rsidR="004359AA" w:rsidRPr="004359AA">
        <w:rPr>
          <w:rFonts w:ascii="Palatino Linotype" w:eastAsia="Times New Roman" w:hAnsi="Palatino Linotype" w:cs="Times New Roman"/>
          <w:sz w:val="24"/>
          <w:szCs w:val="24"/>
        </w:rPr>
        <w:t>ten wenne</w:t>
      </w:r>
      <w:r w:rsidR="000B34D6">
        <w:rPr>
          <w:rFonts w:ascii="Palatino Linotype" w:eastAsia="Times New Roman" w:hAnsi="Palatino Linotype" w:cs="Times New Roman"/>
          <w:sz w:val="24"/>
          <w:szCs w:val="24"/>
        </w:rPr>
        <w:t>n aan een constanct achtergrond</w:t>
      </w:r>
      <w:r w:rsidR="004359AA" w:rsidRPr="004359AA">
        <w:rPr>
          <w:rFonts w:ascii="Palatino Linotype" w:eastAsia="Times New Roman" w:hAnsi="Palatino Linotype" w:cs="Times New Roman"/>
          <w:sz w:val="24"/>
          <w:szCs w:val="24"/>
        </w:rPr>
        <w:t xml:space="preserve">geluid (aanwezig gedurende het gehele experiment) van 55dB. </w:t>
      </w:r>
      <w:r w:rsidR="000B34D6">
        <w:rPr>
          <w:rFonts w:ascii="Palatino Linotype" w:eastAsia="Times New Roman" w:hAnsi="Palatino Linotype" w:cs="Times New Roman"/>
          <w:sz w:val="24"/>
          <w:szCs w:val="24"/>
        </w:rPr>
        <w:t>Hierna werden de ratten blootgesteld aan harde geluiden, dit was de stressor. Er werd gemeten wat de kracht was waarmee de ratten op het platform drukten als reactie op de stressor. Van de mannelijke MS ratten schrok 37%</w:t>
      </w:r>
      <w:r w:rsidR="009956AB">
        <w:rPr>
          <w:rFonts w:ascii="Palatino Linotype" w:eastAsia="Times New Roman" w:hAnsi="Palatino Linotype" w:cs="Times New Roman"/>
          <w:sz w:val="24"/>
          <w:szCs w:val="24"/>
        </w:rPr>
        <w:t>, van de normale mannelijke ratten was dit 25%. Dit verschil is niet significant. Vrouwtjes schroken niet</w:t>
      </w:r>
      <w:r w:rsidR="000B34D6">
        <w:rPr>
          <w:rFonts w:ascii="Palatino Linotype" w:eastAsia="Times New Roman" w:hAnsi="Palatino Linotype" w:cs="Times New Roman"/>
          <w:sz w:val="24"/>
          <w:szCs w:val="24"/>
        </w:rPr>
        <w:t>(Kalinichev et al., 2002</w:t>
      </w:r>
      <w:r w:rsidR="004359AA" w:rsidRPr="004359AA">
        <w:rPr>
          <w:rFonts w:ascii="Palatino Linotype" w:eastAsia="Times New Roman" w:hAnsi="Palatino Linotype" w:cs="Times New Roman"/>
          <w:sz w:val="24"/>
          <w:szCs w:val="24"/>
        </w:rPr>
        <w:t>).</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In alle experimenten is t</w:t>
      </w:r>
      <w:r w:rsidR="005962B4">
        <w:rPr>
          <w:rFonts w:ascii="Palatino Linotype" w:eastAsia="Times New Roman" w:hAnsi="Palatino Linotype" w:cs="Times New Roman"/>
          <w:sz w:val="24"/>
          <w:szCs w:val="24"/>
        </w:rPr>
        <w:t>e zien dat de MS ratten sterker</w:t>
      </w:r>
      <w:r w:rsidRPr="004359AA">
        <w:rPr>
          <w:rFonts w:ascii="Palatino Linotype" w:eastAsia="Times New Roman" w:hAnsi="Palatino Linotype" w:cs="Times New Roman"/>
          <w:sz w:val="24"/>
          <w:szCs w:val="24"/>
        </w:rPr>
        <w:t xml:space="preserve"> reageren op stressoren</w:t>
      </w:r>
      <w:r w:rsidR="005962B4">
        <w:rPr>
          <w:rFonts w:ascii="Palatino Linotype" w:eastAsia="Times New Roman" w:hAnsi="Palatino Linotype" w:cs="Times New Roman"/>
          <w:sz w:val="24"/>
          <w:szCs w:val="24"/>
        </w:rPr>
        <w:t xml:space="preserve"> dan normale ratten</w:t>
      </w:r>
      <w:r w:rsidRPr="004359AA">
        <w:rPr>
          <w:rFonts w:ascii="Palatino Linotype" w:eastAsia="Times New Roman" w:hAnsi="Palatino Linotype" w:cs="Times New Roman"/>
          <w:sz w:val="24"/>
          <w:szCs w:val="24"/>
        </w:rPr>
        <w:t xml:space="preserve">. </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p>
    <w:p w:rsidR="004359AA" w:rsidRPr="004359AA" w:rsidRDefault="005962B4" w:rsidP="004359AA">
      <w:pPr>
        <w:spacing w:after="0" w:line="360" w:lineRule="auto"/>
        <w:contextualSpacing/>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De fysiologische stressresponse van MS</w:t>
      </w:r>
      <w:r w:rsidR="004359AA" w:rsidRPr="004359AA">
        <w:rPr>
          <w:rFonts w:ascii="Palatino Linotype" w:eastAsia="Times New Roman" w:hAnsi="Palatino Linotype" w:cs="Times New Roman"/>
          <w:b/>
          <w:sz w:val="24"/>
          <w:szCs w:val="24"/>
        </w:rPr>
        <w:t xml:space="preserve"> ratten</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Welke veranderingen in hormonenconcentraties vinden er plaats in MS ratten als gevolg van stressoren?</w:t>
      </w:r>
    </w:p>
    <w:p w:rsidR="004359AA" w:rsidRPr="004359AA" w:rsidRDefault="009604A3"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De ratten werden uit het lab gehaald en na de stressor van 15 minuten onthoofd. </w:t>
      </w:r>
      <w:r w:rsidR="004359AA" w:rsidRPr="004359AA">
        <w:rPr>
          <w:rFonts w:ascii="Palatino Linotype" w:eastAsia="Times New Roman" w:hAnsi="Palatino Linotype" w:cs="Times New Roman"/>
          <w:sz w:val="24"/>
          <w:szCs w:val="24"/>
        </w:rPr>
        <w:t>in de MS ratten en de niet-MS ratten de concentraties van CORT en</w:t>
      </w:r>
      <w:r w:rsidR="007705E6">
        <w:rPr>
          <w:rFonts w:ascii="Palatino Linotype" w:eastAsia="Times New Roman" w:hAnsi="Palatino Linotype" w:cs="Times New Roman"/>
          <w:sz w:val="24"/>
          <w:szCs w:val="24"/>
        </w:rPr>
        <w:t xml:space="preserve"> ACTH in het bloed gemeten. De r</w:t>
      </w:r>
      <w:r w:rsidR="004359AA" w:rsidRPr="004359AA">
        <w:rPr>
          <w:rFonts w:ascii="Palatino Linotype" w:eastAsia="Times New Roman" w:hAnsi="Palatino Linotype" w:cs="Times New Roman"/>
          <w:sz w:val="24"/>
          <w:szCs w:val="24"/>
        </w:rPr>
        <w:t>atten werden 15 minuten na de accute stressor (zwemmen in dit geval) onthoofd voor bloed. Met een ezymimmoassay kit werden de concentraties</w:t>
      </w:r>
      <w:r w:rsidR="005D62D8">
        <w:rPr>
          <w:rFonts w:ascii="Palatino Linotype" w:eastAsia="Times New Roman" w:hAnsi="Palatino Linotype" w:cs="Times New Roman"/>
          <w:sz w:val="24"/>
          <w:szCs w:val="24"/>
        </w:rPr>
        <w:t xml:space="preserve"> in het bloed</w:t>
      </w:r>
      <w:r w:rsidR="004359AA" w:rsidRPr="004359AA">
        <w:rPr>
          <w:rFonts w:ascii="Palatino Linotype" w:eastAsia="Times New Roman" w:hAnsi="Palatino Linotype" w:cs="Times New Roman"/>
          <w:sz w:val="24"/>
          <w:szCs w:val="24"/>
        </w:rPr>
        <w:t xml:space="preserve"> gemeten. Bij MS ratten was </w:t>
      </w:r>
      <w:r w:rsidR="007705E6">
        <w:rPr>
          <w:rFonts w:ascii="Palatino Linotype" w:eastAsia="Times New Roman" w:hAnsi="Palatino Linotype" w:cs="Times New Roman"/>
          <w:sz w:val="24"/>
          <w:szCs w:val="24"/>
        </w:rPr>
        <w:t xml:space="preserve">de CORT concentratie 700% </w:t>
      </w:r>
      <w:r w:rsidR="004359AA" w:rsidRPr="004359AA">
        <w:rPr>
          <w:rFonts w:ascii="Palatino Linotype" w:eastAsia="Times New Roman" w:hAnsi="Palatino Linotype" w:cs="Times New Roman"/>
          <w:sz w:val="24"/>
          <w:szCs w:val="24"/>
        </w:rPr>
        <w:t>en de ACTH</w:t>
      </w:r>
      <w:r w:rsidR="007705E6">
        <w:rPr>
          <w:rFonts w:ascii="Palatino Linotype" w:eastAsia="Times New Roman" w:hAnsi="Palatino Linotype" w:cs="Times New Roman"/>
          <w:sz w:val="24"/>
          <w:szCs w:val="24"/>
        </w:rPr>
        <w:t xml:space="preserve"> concentratie</w:t>
      </w:r>
      <w:r w:rsidR="004359AA" w:rsidRPr="004359AA">
        <w:rPr>
          <w:rFonts w:ascii="Palatino Linotype" w:eastAsia="Times New Roman" w:hAnsi="Palatino Linotype" w:cs="Times New Roman"/>
          <w:sz w:val="24"/>
          <w:szCs w:val="24"/>
        </w:rPr>
        <w:t xml:space="preserve"> 200%  hoger dan </w:t>
      </w:r>
      <w:r w:rsidR="007705E6">
        <w:rPr>
          <w:rFonts w:ascii="Palatino Linotype" w:eastAsia="Times New Roman" w:hAnsi="Palatino Linotype" w:cs="Times New Roman"/>
          <w:sz w:val="24"/>
          <w:szCs w:val="24"/>
        </w:rPr>
        <w:t>de concentratie zonder stressor</w:t>
      </w:r>
      <w:r w:rsidR="004359AA" w:rsidRPr="004359AA">
        <w:rPr>
          <w:rFonts w:ascii="Palatino Linotype" w:eastAsia="Times New Roman" w:hAnsi="Palatino Linotype" w:cs="Times New Roman"/>
          <w:sz w:val="24"/>
          <w:szCs w:val="24"/>
        </w:rPr>
        <w:t>. De  niet-MS ratten hadden een stijging v</w:t>
      </w:r>
      <w:r w:rsidR="005D62D8">
        <w:rPr>
          <w:rFonts w:ascii="Palatino Linotype" w:eastAsia="Times New Roman" w:hAnsi="Palatino Linotype" w:cs="Times New Roman"/>
          <w:sz w:val="24"/>
          <w:szCs w:val="24"/>
        </w:rPr>
        <w:t>an 100% CORT en 50% ACTH ten op</w:t>
      </w:r>
      <w:r w:rsidR="004359AA" w:rsidRPr="004359AA">
        <w:rPr>
          <w:rFonts w:ascii="Palatino Linotype" w:eastAsia="Times New Roman" w:hAnsi="Palatino Linotype" w:cs="Times New Roman"/>
          <w:sz w:val="24"/>
          <w:szCs w:val="24"/>
        </w:rPr>
        <w:t>zichte van normale concentraties.</w:t>
      </w:r>
      <w:r>
        <w:rPr>
          <w:rFonts w:ascii="Palatino Linotype" w:eastAsia="Times New Roman" w:hAnsi="Palatino Linotype" w:cs="Times New Roman"/>
          <w:sz w:val="24"/>
          <w:szCs w:val="24"/>
        </w:rPr>
        <w:t xml:space="preserve"> Beide concentraties zijn significant hoger bij MS ratten</w:t>
      </w:r>
      <w:r w:rsidR="004359AA" w:rsidRPr="004359AA">
        <w:rPr>
          <w:rFonts w:ascii="Palatino Linotype" w:eastAsia="Times New Roman" w:hAnsi="Palatino Linotype" w:cs="Times New Roman"/>
          <w:sz w:val="24"/>
          <w:szCs w:val="24"/>
        </w:rPr>
        <w:t xml:space="preserve">  (Aisa et al., 2006)</w:t>
      </w:r>
      <w:r w:rsidR="007705E6">
        <w:rPr>
          <w:rFonts w:ascii="Palatino Linotype" w:eastAsia="Times New Roman" w:hAnsi="Palatino Linotype" w:cs="Times New Roman"/>
          <w:sz w:val="24"/>
          <w:szCs w:val="24"/>
        </w:rPr>
        <w:t>.</w:t>
      </w:r>
      <w:r w:rsidR="004359AA" w:rsidRPr="004359AA">
        <w:rPr>
          <w:rFonts w:ascii="Palatino Linotype" w:eastAsia="Times New Roman" w:hAnsi="Palatino Linotype" w:cs="Times New Roman"/>
          <w:sz w:val="24"/>
          <w:szCs w:val="24"/>
        </w:rPr>
        <w:t xml:space="preserve"> </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lastRenderedPageBreak/>
        <w:t>Het aaien van ratten werd ook als stressor gebruikt om de concentraties CORT en ACTH in het bloed van de ratten te meten. De ratten werden 2-3 minuten geaaid waarna ze onthoofd werden, bloed werd verzameld en met een immunoassay kit geanalyseerd. De conentratie CORT was gemiddeld 100 ng/ml en de concentratie ACTH was gemiddeld 29 pg/ml bij de MS ratten. Niet-MS ratten hadden 40 ng/ml CORT en 41 pg/ml ACTH in hun bloed na de stressor.</w:t>
      </w:r>
      <w:r w:rsidR="009604A3">
        <w:rPr>
          <w:rFonts w:ascii="Palatino Linotype" w:eastAsia="Times New Roman" w:hAnsi="Palatino Linotype" w:cs="Times New Roman"/>
          <w:sz w:val="24"/>
          <w:szCs w:val="24"/>
        </w:rPr>
        <w:t xml:space="preserve"> De concentratie CORT is significant hoger bij MS ratten.</w:t>
      </w:r>
      <w:r w:rsidRPr="004359AA">
        <w:rPr>
          <w:rFonts w:ascii="Palatino Linotype" w:eastAsia="Times New Roman" w:hAnsi="Palatino Linotype" w:cs="Times New Roman"/>
          <w:sz w:val="24"/>
          <w:szCs w:val="24"/>
        </w:rPr>
        <w:t xml:space="preserve"> (Kalinichev et al., 2002)</w:t>
      </w:r>
    </w:p>
    <w:p w:rsidR="004359AA" w:rsidRPr="004359AA" w:rsidRDefault="004359AA" w:rsidP="004359AA">
      <w:pPr>
        <w:spacing w:after="0" w:line="360" w:lineRule="auto"/>
        <w:contextualSpacing/>
        <w:rPr>
          <w:rFonts w:ascii="Palatino Linotype" w:eastAsia="Times New Roman" w:hAnsi="Palatino Linotype" w:cs="Times New Roman"/>
          <w:b/>
          <w:sz w:val="24"/>
          <w:szCs w:val="24"/>
        </w:rPr>
      </w:pP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 xml:space="preserve">Uit beide analyses van het bloed van ratten blijkt dat de concentratie CORT na een accute stressor hoger is bij MS ratten vergeleken met niet-MS ratten, respectievelijk 7 en 2,5 keer zo hoog. Alleen de meting na de test van gedwongen zwemmen laten hogere  concentraties ACTH zien bij MS ratten, 2 keer zo hoog als de niet-MS ratten. De concentratie CORT in het bloed van MS ratten neemt toe na een accute stressor. Van ACTH kunnen we niet zeggen dat de concentratie toeneemt na een acute stressor omdat maar 1 van de 2 experimenten dit bevestigd. </w:t>
      </w:r>
      <w:r w:rsidR="00C03AC4">
        <w:rPr>
          <w:rFonts w:ascii="Palatino Linotype" w:eastAsia="Times New Roman" w:hAnsi="Palatino Linotype" w:cs="Times New Roman"/>
          <w:sz w:val="24"/>
          <w:szCs w:val="24"/>
        </w:rPr>
        <w:t xml:space="preserve">MS ratten hebben een grotere fysiologische stressrespons dan normale ratten. </w:t>
      </w:r>
    </w:p>
    <w:p w:rsidR="004359AA" w:rsidRDefault="004359AA" w:rsidP="004359AA">
      <w:pPr>
        <w:spacing w:after="0" w:line="360" w:lineRule="auto"/>
        <w:contextualSpacing/>
        <w:rPr>
          <w:rFonts w:ascii="Palatino Linotype" w:eastAsia="Times New Roman" w:hAnsi="Palatino Linotype" w:cs="Times New Roman"/>
          <w:sz w:val="24"/>
          <w:szCs w:val="24"/>
        </w:rPr>
      </w:pPr>
    </w:p>
    <w:p w:rsidR="00C03AC4" w:rsidRPr="00C03AC4" w:rsidRDefault="00C03AC4" w:rsidP="004359AA">
      <w:pPr>
        <w:spacing w:after="0" w:line="360" w:lineRule="auto"/>
        <w:contextualSpacing/>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Discussie</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Dat MS ratten heftiger reageren op accute stressoren is zowel zichtbaar als meetbaar. Het effect van Maternale se</w:t>
      </w:r>
      <w:r w:rsidR="00CC7999">
        <w:rPr>
          <w:rFonts w:ascii="Palatino Linotype" w:eastAsia="Times New Roman" w:hAnsi="Palatino Linotype" w:cs="Times New Roman"/>
          <w:sz w:val="24"/>
          <w:szCs w:val="24"/>
        </w:rPr>
        <w:t>paratie is dat ratten in grotere mate reageren op</w:t>
      </w:r>
      <w:r w:rsidRPr="004359AA">
        <w:rPr>
          <w:rFonts w:ascii="Palatino Linotype" w:eastAsia="Times New Roman" w:hAnsi="Palatino Linotype" w:cs="Times New Roman"/>
          <w:sz w:val="24"/>
          <w:szCs w:val="24"/>
        </w:rPr>
        <w:t xml:space="preserve"> accute stressoren.</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De omgevingsfactoren van de ratten na de geboorte zijn niet geheel duidelijk. Hoe ratten behandeld werden gedurende hun MS komt niet naar voren. Ook maakt de methode van bloedafname het onmogelijk om op verschillende tijden bij dezelfde rat concentraties te meten, de vergelijking van basisniveau concentraties met concentraties na accute stressoren hierdoor niet zo sterk. (Kalinichev et al., 2002).</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 xml:space="preserve">Stressoren op jonge leeftijd hebben een versterkende invloed op stressoren op latere leeftijd bij MS ratten. Andere stressoren op jonge leeftijd zijn echter niet gebruikt om </w:t>
      </w:r>
      <w:r w:rsidRPr="004359AA">
        <w:rPr>
          <w:rFonts w:ascii="Palatino Linotype" w:eastAsia="Times New Roman" w:hAnsi="Palatino Linotype" w:cs="Times New Roman"/>
          <w:sz w:val="24"/>
          <w:szCs w:val="24"/>
        </w:rPr>
        <w:lastRenderedPageBreak/>
        <w:t>het effect op latere leeftijd te observeren.</w:t>
      </w:r>
      <w:r w:rsidR="0086750B">
        <w:rPr>
          <w:rFonts w:ascii="Palatino Linotype" w:eastAsia="Times New Roman" w:hAnsi="Palatino Linotype" w:cs="Times New Roman"/>
          <w:sz w:val="24"/>
          <w:szCs w:val="24"/>
        </w:rPr>
        <w:t xml:space="preserve"> De concentraties ACTH en CORT in het bloed worden na stressoren in grotere mate verhoogd in MS ratten vergeleken met normale ratten</w:t>
      </w:r>
      <w:r w:rsidR="00C94345">
        <w:rPr>
          <w:rFonts w:ascii="Palatino Linotype" w:eastAsia="Times New Roman" w:hAnsi="Palatino Linotype" w:cs="Times New Roman"/>
          <w:sz w:val="24"/>
          <w:szCs w:val="24"/>
        </w:rPr>
        <w:t xml:space="preserve">. </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 xml:space="preserve">Het is zeer aannemelijk dat modellen voor stress in ratten en de neurochemie van ratten vergelijkbaar is met die van mensen. Deze onderzoeken wijzen erop dat trauma (MS) op jonge leeftijd aanleiding kan geven depressie (verhoogde concentraties van stresshormonen) op later leeftijd. </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 xml:space="preserve">Om uitspraken te doen over depressie bij mensen moet er echter meer onderzoek gedaan worden naar verschillende stressoren bij jonge ratten. Volledige scheiding van de moeder bijvoorbeeld. Ook de milieu factoren die invloed hebben op MS moeten nader onderzocht worden. Verder kan men behandeling tegen stress toetsen op ratten. Het is echter nog te vroeg om resultaten van onderzoek naar ratten om te zetten naar mensen. </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 xml:space="preserve"> </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p>
    <w:p w:rsidR="004359AA" w:rsidRPr="004359AA" w:rsidRDefault="004359AA" w:rsidP="004359AA">
      <w:pPr>
        <w:spacing w:after="0" w:line="360" w:lineRule="auto"/>
        <w:contextualSpacing/>
        <w:rPr>
          <w:rFonts w:ascii="Palatino Linotype" w:eastAsia="Times New Roman" w:hAnsi="Palatino Linotype" w:cs="Times New Roman"/>
          <w:b/>
          <w:sz w:val="24"/>
          <w:szCs w:val="24"/>
        </w:rPr>
      </w:pPr>
      <w:r w:rsidRPr="004359AA">
        <w:rPr>
          <w:rFonts w:ascii="Palatino Linotype" w:eastAsia="Times New Roman" w:hAnsi="Palatino Linotype" w:cs="Times New Roman"/>
          <w:b/>
          <w:sz w:val="24"/>
          <w:szCs w:val="24"/>
        </w:rPr>
        <w:t>Literatuurlijst</w:t>
      </w:r>
    </w:p>
    <w:p w:rsidR="004359AA" w:rsidRPr="004359AA" w:rsidRDefault="004359AA" w:rsidP="004359AA">
      <w:pPr>
        <w:spacing w:after="0" w:line="240" w:lineRule="auto"/>
        <w:contextualSpacing/>
        <w:rPr>
          <w:rFonts w:ascii="Palatino Linotype" w:eastAsia="Times New Roman" w:hAnsi="Palatino Linotype" w:cs="Times New Roman"/>
          <w:sz w:val="24"/>
          <w:szCs w:val="24"/>
          <w:lang w:val="en-US"/>
        </w:rPr>
      </w:pPr>
      <w:r w:rsidRPr="009604A3">
        <w:rPr>
          <w:rFonts w:ascii="Palatino Linotype" w:eastAsia="Times New Roman" w:hAnsi="Palatino Linotype" w:cs="Times New Roman"/>
          <w:sz w:val="24"/>
          <w:szCs w:val="24"/>
        </w:rPr>
        <w:t>Aisa, B., Tordera, R. , Lasheras, B., Del Río, J.</w:t>
      </w:r>
      <w:r w:rsidR="005D62D8" w:rsidRPr="009604A3">
        <w:rPr>
          <w:rFonts w:ascii="Palatino Linotype" w:eastAsia="Times New Roman" w:hAnsi="Palatino Linotype" w:cs="Times New Roman"/>
          <w:sz w:val="24"/>
          <w:szCs w:val="24"/>
        </w:rPr>
        <w:t>,</w:t>
      </w:r>
      <w:r w:rsidRPr="009604A3">
        <w:rPr>
          <w:rFonts w:ascii="Palatino Linotype" w:eastAsia="Times New Roman" w:hAnsi="Palatino Linotype" w:cs="Times New Roman"/>
          <w:sz w:val="24"/>
          <w:szCs w:val="24"/>
        </w:rPr>
        <w:t xml:space="preserve"> &amp; Ramírez, M. J. (2007). </w:t>
      </w:r>
      <w:r w:rsidRPr="004359AA">
        <w:rPr>
          <w:rFonts w:ascii="Palatino Linotype" w:eastAsia="Times New Roman" w:hAnsi="Palatino Linotype" w:cs="Times New Roman"/>
          <w:sz w:val="24"/>
          <w:szCs w:val="24"/>
          <w:lang w:val="en-US"/>
        </w:rPr>
        <w:t xml:space="preserve">Cognitive impairment associated to HPA axis hyperactivity after maternal separation in rats. </w:t>
      </w:r>
      <w:proofErr w:type="spellStart"/>
      <w:r w:rsidRPr="004359AA">
        <w:rPr>
          <w:rFonts w:ascii="Palatino Linotype" w:eastAsia="Times New Roman" w:hAnsi="Palatino Linotype" w:cs="Times New Roman"/>
          <w:i/>
          <w:sz w:val="24"/>
          <w:szCs w:val="24"/>
          <w:lang w:val="en-US"/>
        </w:rPr>
        <w:t>Psychoneuroendocrinology</w:t>
      </w:r>
      <w:proofErr w:type="spellEnd"/>
      <w:r w:rsidRPr="004359AA">
        <w:rPr>
          <w:rFonts w:ascii="Palatino Linotype" w:eastAsia="Times New Roman" w:hAnsi="Palatino Linotype" w:cs="Times New Roman"/>
          <w:sz w:val="24"/>
          <w:szCs w:val="24"/>
          <w:lang w:val="en-US"/>
        </w:rPr>
        <w:t>, 32, 256–266</w:t>
      </w:r>
      <w:r w:rsidR="00222FC3">
        <w:rPr>
          <w:rFonts w:ascii="Palatino Linotype" w:eastAsia="Times New Roman" w:hAnsi="Palatino Linotype" w:cs="Times New Roman"/>
          <w:sz w:val="24"/>
          <w:szCs w:val="24"/>
          <w:lang w:val="en-US"/>
        </w:rPr>
        <w:t>.</w:t>
      </w:r>
    </w:p>
    <w:p w:rsidR="004359AA" w:rsidRPr="004359AA" w:rsidRDefault="004359AA" w:rsidP="004359AA">
      <w:pPr>
        <w:spacing w:after="0" w:line="240" w:lineRule="auto"/>
        <w:contextualSpacing/>
        <w:rPr>
          <w:rFonts w:ascii="Palatino Linotype" w:eastAsia="Times New Roman" w:hAnsi="Palatino Linotype" w:cs="Times New Roman"/>
          <w:sz w:val="24"/>
          <w:szCs w:val="24"/>
          <w:lang w:val="en-US"/>
        </w:rPr>
      </w:pPr>
    </w:p>
    <w:p w:rsidR="004359AA" w:rsidRPr="004359AA" w:rsidRDefault="005D62D8" w:rsidP="004359AA">
      <w:pPr>
        <w:spacing w:after="0" w:line="240" w:lineRule="auto"/>
        <w:contextualSpacing/>
        <w:rPr>
          <w:rFonts w:ascii="Palatino Linotype" w:eastAsia="Times New Roman" w:hAnsi="Palatino Linotype" w:cs="Times New Roman"/>
          <w:b/>
          <w:sz w:val="24"/>
          <w:szCs w:val="24"/>
        </w:rPr>
      </w:pPr>
      <w:proofErr w:type="spellStart"/>
      <w:proofErr w:type="gramStart"/>
      <w:r>
        <w:rPr>
          <w:rFonts w:ascii="Palatino Linotype" w:eastAsia="Times New Roman" w:hAnsi="Palatino Linotype" w:cs="Times New Roman"/>
          <w:sz w:val="24"/>
          <w:szCs w:val="24"/>
          <w:lang w:val="en-US"/>
        </w:rPr>
        <w:t>Kalinichev</w:t>
      </w:r>
      <w:proofErr w:type="spellEnd"/>
      <w:r w:rsidR="004359AA" w:rsidRPr="004359AA">
        <w:rPr>
          <w:rFonts w:ascii="Palatino Linotype" w:eastAsia="Times New Roman" w:hAnsi="Palatino Linotype" w:cs="Times New Roman"/>
          <w:sz w:val="24"/>
          <w:szCs w:val="24"/>
          <w:lang w:val="en-US"/>
        </w:rPr>
        <w:t xml:space="preserve">, M., </w:t>
      </w:r>
      <w:proofErr w:type="spellStart"/>
      <w:r w:rsidR="004359AA" w:rsidRPr="004359AA">
        <w:rPr>
          <w:rFonts w:ascii="Palatino Linotype" w:eastAsia="Times New Roman" w:hAnsi="Palatino Linotype" w:cs="Times New Roman"/>
          <w:sz w:val="24"/>
          <w:szCs w:val="24"/>
          <w:lang w:val="en-US"/>
        </w:rPr>
        <w:t>Easterlinga</w:t>
      </w:r>
      <w:proofErr w:type="spellEnd"/>
      <w:r w:rsidR="004359AA" w:rsidRPr="004359AA">
        <w:rPr>
          <w:rFonts w:ascii="Palatino Linotype" w:eastAsia="Times New Roman" w:hAnsi="Palatino Linotype" w:cs="Times New Roman"/>
          <w:sz w:val="24"/>
          <w:szCs w:val="24"/>
          <w:lang w:val="en-US"/>
        </w:rPr>
        <w:t xml:space="preserve">, K.W., </w:t>
      </w:r>
      <w:proofErr w:type="spellStart"/>
      <w:r w:rsidR="004359AA" w:rsidRPr="004359AA">
        <w:rPr>
          <w:rFonts w:ascii="Palatino Linotype" w:eastAsia="Times New Roman" w:hAnsi="Palatino Linotype" w:cs="Times New Roman"/>
          <w:sz w:val="24"/>
          <w:szCs w:val="24"/>
          <w:lang w:val="en-US"/>
        </w:rPr>
        <w:t>Plotskyb</w:t>
      </w:r>
      <w:proofErr w:type="spellEnd"/>
      <w:r w:rsidR="004359AA" w:rsidRPr="004359AA">
        <w:rPr>
          <w:rFonts w:ascii="Palatino Linotype" w:eastAsia="Times New Roman" w:hAnsi="Palatino Linotype" w:cs="Times New Roman"/>
          <w:sz w:val="24"/>
          <w:szCs w:val="24"/>
          <w:lang w:val="en-US"/>
        </w:rPr>
        <w:t>, P.M.</w:t>
      </w:r>
      <w:r>
        <w:rPr>
          <w:rFonts w:ascii="Palatino Linotype" w:eastAsia="Times New Roman" w:hAnsi="Palatino Linotype" w:cs="Times New Roman"/>
          <w:sz w:val="24"/>
          <w:szCs w:val="24"/>
          <w:lang w:val="en-US"/>
        </w:rPr>
        <w:t>,</w:t>
      </w:r>
      <w:r w:rsidR="004359AA" w:rsidRPr="004359AA">
        <w:rPr>
          <w:rFonts w:ascii="Palatino Linotype" w:eastAsia="Times New Roman" w:hAnsi="Palatino Linotype" w:cs="Times New Roman"/>
          <w:sz w:val="24"/>
          <w:szCs w:val="24"/>
          <w:lang w:val="en-US"/>
        </w:rPr>
        <w:t xml:space="preserve"> &amp; </w:t>
      </w:r>
      <w:proofErr w:type="spellStart"/>
      <w:r w:rsidR="004359AA" w:rsidRPr="004359AA">
        <w:rPr>
          <w:rFonts w:ascii="Palatino Linotype" w:eastAsia="Times New Roman" w:hAnsi="Palatino Linotype" w:cs="Times New Roman"/>
          <w:sz w:val="24"/>
          <w:szCs w:val="24"/>
          <w:lang w:val="en-US"/>
        </w:rPr>
        <w:t>Holtzmana</w:t>
      </w:r>
      <w:proofErr w:type="spellEnd"/>
      <w:r w:rsidR="004359AA" w:rsidRPr="004359AA">
        <w:rPr>
          <w:rFonts w:ascii="Palatino Linotype" w:eastAsia="Times New Roman" w:hAnsi="Palatino Linotype" w:cs="Times New Roman"/>
          <w:sz w:val="24"/>
          <w:szCs w:val="24"/>
          <w:lang w:val="en-US"/>
        </w:rPr>
        <w:t>, S.G. (2002).</w:t>
      </w:r>
      <w:proofErr w:type="gramEnd"/>
      <w:r w:rsidR="004359AA" w:rsidRPr="004359AA">
        <w:rPr>
          <w:rFonts w:ascii="Palatino Linotype" w:eastAsia="Times New Roman" w:hAnsi="Palatino Linotype" w:cs="Times New Roman"/>
          <w:sz w:val="24"/>
          <w:szCs w:val="24"/>
          <w:lang w:val="en-US"/>
        </w:rPr>
        <w:t xml:space="preserve"> Long-lasting changes in stress-induced </w:t>
      </w:r>
      <w:proofErr w:type="spellStart"/>
      <w:r w:rsidR="004359AA" w:rsidRPr="004359AA">
        <w:rPr>
          <w:rFonts w:ascii="Palatino Linotype" w:eastAsia="Times New Roman" w:hAnsi="Palatino Linotype" w:cs="Times New Roman"/>
          <w:sz w:val="24"/>
          <w:szCs w:val="24"/>
          <w:lang w:val="en-US"/>
        </w:rPr>
        <w:t>corticosterone</w:t>
      </w:r>
      <w:proofErr w:type="spellEnd"/>
      <w:r w:rsidR="004359AA" w:rsidRPr="004359AA">
        <w:rPr>
          <w:rFonts w:ascii="Palatino Linotype" w:eastAsia="Times New Roman" w:hAnsi="Palatino Linotype" w:cs="Times New Roman"/>
          <w:sz w:val="24"/>
          <w:szCs w:val="24"/>
          <w:lang w:val="en-US"/>
        </w:rPr>
        <w:t xml:space="preserve"> response and anxiety-like behaviors as a consequence of neonatal maternal separation in Long–Evans rats. </w:t>
      </w:r>
      <w:r w:rsidR="004359AA" w:rsidRPr="004359AA">
        <w:rPr>
          <w:rFonts w:ascii="Palatino Linotype" w:eastAsia="Times New Roman" w:hAnsi="Palatino Linotype" w:cs="Times New Roman"/>
          <w:i/>
          <w:sz w:val="24"/>
          <w:szCs w:val="24"/>
        </w:rPr>
        <w:t>Pharmacology, Biochemistry and Behavior</w:t>
      </w:r>
      <w:r w:rsidR="004359AA" w:rsidRPr="004359AA">
        <w:rPr>
          <w:rFonts w:ascii="Palatino Linotype" w:eastAsia="Times New Roman" w:hAnsi="Palatino Linotype" w:cs="Times New Roman"/>
          <w:sz w:val="24"/>
          <w:szCs w:val="24"/>
        </w:rPr>
        <w:t>, 73, 131–140</w:t>
      </w:r>
      <w:r w:rsidR="00222FC3">
        <w:rPr>
          <w:rFonts w:ascii="Palatino Linotype" w:eastAsia="Times New Roman" w:hAnsi="Palatino Linotype" w:cs="Times New Roman"/>
          <w:sz w:val="24"/>
          <w:szCs w:val="24"/>
        </w:rPr>
        <w:t>.</w:t>
      </w:r>
    </w:p>
    <w:p w:rsidR="004359AA" w:rsidRPr="004359AA" w:rsidRDefault="004359AA" w:rsidP="004359AA">
      <w:pPr>
        <w:spacing w:after="0" w:line="240" w:lineRule="auto"/>
        <w:contextualSpacing/>
        <w:rPr>
          <w:rFonts w:ascii="Palatino Linotype" w:eastAsia="Times New Roman" w:hAnsi="Palatino Linotype" w:cs="Times New Roman"/>
          <w:b/>
          <w:sz w:val="24"/>
          <w:szCs w:val="24"/>
        </w:rPr>
      </w:pPr>
      <w:r w:rsidRPr="004359AA">
        <w:rPr>
          <w:rFonts w:ascii="Palatino Linotype" w:eastAsia="Times New Roman" w:hAnsi="Palatino Linotype" w:cs="Times New Roman"/>
          <w:b/>
          <w:sz w:val="24"/>
          <w:szCs w:val="24"/>
        </w:rPr>
        <w:br w:type="page"/>
      </w:r>
    </w:p>
    <w:p w:rsidR="004359AA" w:rsidRPr="004359AA" w:rsidRDefault="004359AA" w:rsidP="004359AA">
      <w:pPr>
        <w:spacing w:after="0" w:line="240" w:lineRule="auto"/>
        <w:contextualSpacing/>
        <w:rPr>
          <w:rFonts w:ascii="Palatino Linotype" w:eastAsia="Times New Roman" w:hAnsi="Palatino Linotype" w:cs="Times New Roman"/>
          <w:b/>
          <w:sz w:val="24"/>
          <w:szCs w:val="20"/>
        </w:rPr>
      </w:pPr>
      <w:r w:rsidRPr="004359AA">
        <w:rPr>
          <w:rFonts w:ascii="Palatino Linotype" w:eastAsia="Times New Roman" w:hAnsi="Palatino Linotype" w:cs="Times New Roman"/>
          <w:b/>
          <w:sz w:val="24"/>
          <w:szCs w:val="20"/>
        </w:rPr>
        <w:lastRenderedPageBreak/>
        <w:t>Zelfbeoordelingsformulier literatuurverslag</w:t>
      </w:r>
    </w:p>
    <w:p w:rsidR="004359AA" w:rsidRPr="004359AA" w:rsidRDefault="004359AA" w:rsidP="004359AA">
      <w:pPr>
        <w:spacing w:after="0" w:line="240" w:lineRule="auto"/>
        <w:contextualSpacing/>
        <w:rPr>
          <w:rFonts w:ascii="Palatino Linotype" w:eastAsia="Times New Roman" w:hAnsi="Palatino Linotype" w:cs="Times New Roman"/>
          <w:b/>
          <w:sz w:val="24"/>
          <w:szCs w:val="20"/>
        </w:rPr>
      </w:pPr>
    </w:p>
    <w:tbl>
      <w:tblPr>
        <w:tblpPr w:leftFromText="180" w:rightFromText="180" w:vertAnchor="text"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125"/>
        <w:gridCol w:w="4533"/>
        <w:gridCol w:w="1260"/>
        <w:gridCol w:w="1260"/>
      </w:tblGrid>
      <w:tr w:rsidR="004359AA" w:rsidRPr="004359AA" w:rsidTr="004359AA">
        <w:trPr>
          <w:cantSplit/>
        </w:trPr>
        <w:tc>
          <w:tcPr>
            <w:tcW w:w="392" w:type="dxa"/>
            <w:tcBorders>
              <w:top w:val="nil"/>
              <w:left w:val="nil"/>
              <w:bottom w:val="double" w:sz="4" w:space="0" w:color="auto"/>
              <w:right w:val="single" w:sz="4" w:space="0" w:color="000000"/>
            </w:tcBorders>
            <w:textDirection w:val="btLr"/>
          </w:tcPr>
          <w:p w:rsidR="004359AA" w:rsidRPr="004359AA" w:rsidRDefault="004359AA" w:rsidP="004359AA">
            <w:pPr>
              <w:spacing w:after="0" w:line="240" w:lineRule="auto"/>
              <w:ind w:left="113" w:right="113"/>
              <w:contextualSpacing/>
              <w:rPr>
                <w:rFonts w:ascii="Palatino Linotype" w:eastAsia="Times New Roman" w:hAnsi="Palatino Linotype" w:cs="Times New Roman"/>
                <w:b/>
              </w:rPr>
            </w:pPr>
          </w:p>
        </w:tc>
        <w:tc>
          <w:tcPr>
            <w:tcW w:w="6662" w:type="dxa"/>
            <w:gridSpan w:val="2"/>
            <w:tcBorders>
              <w:top w:val="double" w:sz="4" w:space="0" w:color="auto"/>
              <w:left w:val="double" w:sz="4" w:space="0" w:color="auto"/>
              <w:bottom w:val="double" w:sz="4" w:space="0" w:color="auto"/>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Vaardigheden (de vaardigheden in een grijs vak zijn eerder behandeld)</w:t>
            </w:r>
          </w:p>
        </w:tc>
        <w:tc>
          <w:tcPr>
            <w:tcW w:w="1261" w:type="dxa"/>
            <w:tcBorders>
              <w:top w:val="double" w:sz="4" w:space="0" w:color="auto"/>
              <w:left w:val="double" w:sz="4" w:space="0" w:color="auto"/>
              <w:bottom w:val="double" w:sz="4" w:space="0" w:color="auto"/>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Gewicht</w:t>
            </w:r>
          </w:p>
        </w:tc>
        <w:tc>
          <w:tcPr>
            <w:tcW w:w="1261" w:type="dxa"/>
            <w:tcBorders>
              <w:top w:val="double" w:sz="4" w:space="0" w:color="auto"/>
              <w:left w:val="double" w:sz="4" w:space="0" w:color="auto"/>
              <w:bottom w:val="double" w:sz="4" w:space="0" w:color="auto"/>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Score</w:t>
            </w:r>
          </w:p>
        </w:tc>
      </w:tr>
      <w:tr w:rsidR="004359AA" w:rsidRPr="004359AA" w:rsidTr="004359AA">
        <w:trPr>
          <w:cantSplit/>
          <w:trHeight w:val="170"/>
        </w:trPr>
        <w:tc>
          <w:tcPr>
            <w:tcW w:w="392" w:type="dxa"/>
            <w:vMerge w:val="restart"/>
            <w:tcBorders>
              <w:top w:val="double" w:sz="4" w:space="0" w:color="auto"/>
              <w:left w:val="double" w:sz="4" w:space="0" w:color="auto"/>
              <w:bottom w:val="double" w:sz="4" w:space="0" w:color="auto"/>
              <w:right w:val="single" w:sz="4" w:space="0" w:color="000000"/>
            </w:tcBorders>
            <w:shd w:val="clear" w:color="auto" w:fill="FFFFFF"/>
            <w:textDirection w:val="btLr"/>
            <w:hideMark/>
          </w:tcPr>
          <w:p w:rsidR="004359AA" w:rsidRPr="004359AA" w:rsidRDefault="004359AA" w:rsidP="004359AA">
            <w:pPr>
              <w:spacing w:after="0" w:line="240" w:lineRule="auto"/>
              <w:ind w:left="113" w:right="113"/>
              <w:contextualSpacing/>
              <w:jc w:val="center"/>
              <w:rPr>
                <w:rFonts w:ascii="Palatino Linotype" w:eastAsia="Times New Roman" w:hAnsi="Palatino Linotype" w:cs="Times New Roman"/>
                <w:b/>
              </w:rPr>
            </w:pPr>
            <w:r w:rsidRPr="004359AA">
              <w:rPr>
                <w:rFonts w:ascii="Palatino Linotype" w:eastAsia="Times New Roman" w:hAnsi="Palatino Linotype" w:cs="Times New Roman"/>
                <w:b/>
              </w:rPr>
              <w:t>Inhoud</w:t>
            </w:r>
          </w:p>
        </w:tc>
        <w:tc>
          <w:tcPr>
            <w:tcW w:w="2126" w:type="dxa"/>
            <w:tcBorders>
              <w:top w:val="double" w:sz="4" w:space="0" w:color="auto"/>
              <w:left w:val="double" w:sz="4" w:space="0" w:color="auto"/>
              <w:bottom w:val="single" w:sz="4" w:space="0" w:color="000000"/>
              <w:right w:val="single" w:sz="4" w:space="0" w:color="000000"/>
            </w:tcBorders>
            <w:shd w:val="clear" w:color="auto" w:fill="D9D9D9"/>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Inhoudelijke samenhang</w:t>
            </w:r>
          </w:p>
        </w:tc>
        <w:tc>
          <w:tcPr>
            <w:tcW w:w="4536" w:type="dxa"/>
            <w:tcBorders>
              <w:top w:val="double" w:sz="4" w:space="0" w:color="auto"/>
              <w:left w:val="single" w:sz="4" w:space="0" w:color="000000"/>
              <w:bottom w:val="single" w:sz="4" w:space="0" w:color="000000"/>
              <w:right w:val="double" w:sz="4" w:space="0" w:color="auto"/>
            </w:tcBorders>
            <w:shd w:val="clear" w:color="auto" w:fill="D9D9D9"/>
            <w:hideMark/>
          </w:tcPr>
          <w:p w:rsidR="004359AA" w:rsidRPr="004359AA" w:rsidRDefault="004359AA" w:rsidP="004359AA">
            <w:pPr>
              <w:widowControl w:val="0"/>
              <w:spacing w:after="0" w:line="240" w:lineRule="auto"/>
              <w:contextualSpacing/>
              <w:rPr>
                <w:rFonts w:ascii="Palatino Linotype" w:eastAsia="Times New Roman" w:hAnsi="Palatino Linotype" w:cs="Times New Roman"/>
              </w:rPr>
            </w:pPr>
            <w:r w:rsidRPr="004359AA">
              <w:rPr>
                <w:rFonts w:ascii="Palatino Linotype" w:eastAsia="Times New Roman" w:hAnsi="Palatino Linotype" w:cs="Times New Roman"/>
              </w:rPr>
              <w:t>Alle onderdelen van het literatuurverslag sluiten inhoudelijk logisch op elkaar aan.</w:t>
            </w:r>
          </w:p>
        </w:tc>
        <w:tc>
          <w:tcPr>
            <w:tcW w:w="1261" w:type="dxa"/>
            <w:tcBorders>
              <w:top w:val="double" w:sz="4" w:space="0" w:color="auto"/>
              <w:left w:val="double" w:sz="4" w:space="0" w:color="auto"/>
              <w:bottom w:val="single" w:sz="4" w:space="0" w:color="000000"/>
              <w:right w:val="double" w:sz="4" w:space="0" w:color="auto"/>
            </w:tcBorders>
            <w:shd w:val="clear" w:color="auto" w:fill="D9D9D9"/>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2</w:t>
            </w:r>
          </w:p>
        </w:tc>
        <w:tc>
          <w:tcPr>
            <w:tcW w:w="1261" w:type="dxa"/>
            <w:tcBorders>
              <w:top w:val="double" w:sz="4" w:space="0" w:color="auto"/>
              <w:left w:val="double" w:sz="4" w:space="0" w:color="auto"/>
              <w:bottom w:val="single" w:sz="4" w:space="0" w:color="000000"/>
              <w:right w:val="double" w:sz="4" w:space="0" w:color="auto"/>
            </w:tcBorders>
            <w:shd w:val="clear" w:color="auto" w:fill="D9D9D9"/>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w:t>
            </w:r>
          </w:p>
        </w:tc>
      </w:tr>
      <w:tr w:rsidR="004359AA" w:rsidRPr="004359AA" w:rsidTr="004359AA">
        <w:trPr>
          <w:cantSplit/>
          <w:trHeight w:val="170"/>
        </w:trPr>
        <w:tc>
          <w:tcPr>
            <w:tcW w:w="392" w:type="dxa"/>
            <w:vMerge/>
            <w:tcBorders>
              <w:top w:val="double" w:sz="4" w:space="0" w:color="auto"/>
              <w:left w:val="double" w:sz="4" w:space="0" w:color="auto"/>
              <w:bottom w:val="double" w:sz="4" w:space="0" w:color="auto"/>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single" w:sz="4" w:space="0" w:color="000000"/>
              <w:right w:val="single" w:sz="4" w:space="0" w:color="000000"/>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Inleiding</w:t>
            </w:r>
          </w:p>
        </w:tc>
        <w:tc>
          <w:tcPr>
            <w:tcW w:w="4536" w:type="dxa"/>
            <w:tcBorders>
              <w:top w:val="single" w:sz="4" w:space="0" w:color="000000"/>
              <w:left w:val="single" w:sz="4" w:space="0" w:color="000000"/>
              <w:bottom w:val="single" w:sz="4" w:space="0" w:color="000000"/>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onderdelen van de inleiding worden op inhoudelijk correcte wijze weergegeven en onderbouwd door middel van literatuur.</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2</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w:t>
            </w:r>
          </w:p>
        </w:tc>
      </w:tr>
      <w:tr w:rsidR="004359AA" w:rsidRPr="004359AA" w:rsidTr="004359AA">
        <w:trPr>
          <w:cantSplit/>
          <w:trHeight w:val="170"/>
        </w:trPr>
        <w:tc>
          <w:tcPr>
            <w:tcW w:w="392" w:type="dxa"/>
            <w:vMerge/>
            <w:tcBorders>
              <w:top w:val="double" w:sz="4" w:space="0" w:color="auto"/>
              <w:left w:val="double" w:sz="4" w:space="0" w:color="auto"/>
              <w:bottom w:val="double" w:sz="4" w:space="0" w:color="auto"/>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single" w:sz="4" w:space="0" w:color="000000"/>
              <w:right w:val="single" w:sz="4" w:space="0" w:color="000000"/>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Middendeel</w:t>
            </w:r>
          </w:p>
        </w:tc>
        <w:tc>
          <w:tcPr>
            <w:tcW w:w="4536" w:type="dxa"/>
            <w:tcBorders>
              <w:top w:val="single" w:sz="4" w:space="0" w:color="000000"/>
              <w:left w:val="single" w:sz="4" w:space="0" w:color="000000"/>
              <w:bottom w:val="single" w:sz="4" w:space="0" w:color="000000"/>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relevante deelexperimenten zijn besproken.</w:t>
            </w:r>
          </w:p>
          <w:p w:rsidR="004359AA" w:rsidRPr="004359AA" w:rsidRDefault="004359AA" w:rsidP="004359AA">
            <w:pPr>
              <w:widowControl w:val="0"/>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onderdelen van de paragrafen worden op inhoudelijk correcte wijze weergegeven.</w:t>
            </w:r>
          </w:p>
        </w:tc>
        <w:tc>
          <w:tcPr>
            <w:tcW w:w="1261" w:type="dxa"/>
            <w:tcBorders>
              <w:top w:val="single" w:sz="4" w:space="0" w:color="000000"/>
              <w:left w:val="double" w:sz="4" w:space="0" w:color="auto"/>
              <w:bottom w:val="single" w:sz="4" w:space="0" w:color="000000"/>
              <w:right w:val="double" w:sz="4" w:space="0" w:color="auto"/>
            </w:tcBorders>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1</w:t>
            </w:r>
          </w:p>
          <w:p w:rsidR="004359AA" w:rsidRPr="004359AA" w:rsidRDefault="004359AA" w:rsidP="004359AA">
            <w:pPr>
              <w:widowControl w:val="0"/>
              <w:spacing w:after="0" w:line="240" w:lineRule="auto"/>
              <w:contextualSpacing/>
              <w:rPr>
                <w:rFonts w:ascii="Palatino Linotype" w:eastAsia="Times New Roman" w:hAnsi="Palatino Linotype" w:cs="Times New Roman"/>
                <w:b/>
              </w:rPr>
            </w:pPr>
          </w:p>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single" w:sz="4" w:space="0" w:color="000000"/>
              <w:left w:val="double" w:sz="4" w:space="0" w:color="auto"/>
              <w:bottom w:val="single" w:sz="4" w:space="0" w:color="000000"/>
              <w:right w:val="double" w:sz="4" w:space="0" w:color="auto"/>
            </w:tcBorders>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6</w:t>
            </w:r>
          </w:p>
          <w:p w:rsidR="004359AA" w:rsidRPr="004359AA" w:rsidRDefault="004359AA" w:rsidP="004359AA">
            <w:pPr>
              <w:widowControl w:val="0"/>
              <w:spacing w:after="0" w:line="240" w:lineRule="auto"/>
              <w:contextualSpacing/>
              <w:rPr>
                <w:rFonts w:ascii="Palatino Linotype" w:eastAsia="Times New Roman" w:hAnsi="Palatino Linotype" w:cs="Times New Roman"/>
                <w:b/>
              </w:rPr>
            </w:pPr>
          </w:p>
          <w:p w:rsidR="004359AA" w:rsidRPr="004359AA" w:rsidRDefault="004359AA" w:rsidP="004359AA">
            <w:pPr>
              <w:widowControl w:val="0"/>
              <w:spacing w:after="0" w:line="240" w:lineRule="auto"/>
              <w:contextualSpacing/>
              <w:rPr>
                <w:rFonts w:ascii="Palatino Linotype" w:eastAsia="Times New Roman" w:hAnsi="Palatino Linotype" w:cs="Times New Roman"/>
                <w:b/>
              </w:rPr>
            </w:pPr>
          </w:p>
        </w:tc>
      </w:tr>
      <w:tr w:rsidR="004359AA" w:rsidRPr="004359AA" w:rsidTr="004359AA">
        <w:trPr>
          <w:cantSplit/>
          <w:trHeight w:val="170"/>
        </w:trPr>
        <w:tc>
          <w:tcPr>
            <w:tcW w:w="392" w:type="dxa"/>
            <w:vMerge/>
            <w:tcBorders>
              <w:top w:val="double" w:sz="4" w:space="0" w:color="auto"/>
              <w:left w:val="double" w:sz="4" w:space="0" w:color="auto"/>
              <w:bottom w:val="double" w:sz="4" w:space="0" w:color="auto"/>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double" w:sz="4" w:space="0" w:color="auto"/>
              <w:right w:val="single" w:sz="4" w:space="0" w:color="000000"/>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Discussie</w:t>
            </w:r>
          </w:p>
        </w:tc>
        <w:tc>
          <w:tcPr>
            <w:tcW w:w="4536" w:type="dxa"/>
            <w:tcBorders>
              <w:top w:val="single" w:sz="4" w:space="0" w:color="000000"/>
              <w:left w:val="single" w:sz="4" w:space="0" w:color="000000"/>
              <w:bottom w:val="double" w:sz="4" w:space="0" w:color="auto"/>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onderdelen van de discussie worden op inhoudelijk correcte wijze weergegeven en onderbouwd door middel van literatuur.</w:t>
            </w:r>
          </w:p>
        </w:tc>
        <w:tc>
          <w:tcPr>
            <w:tcW w:w="1261" w:type="dxa"/>
            <w:tcBorders>
              <w:top w:val="single" w:sz="4" w:space="0" w:color="000000"/>
              <w:left w:val="double" w:sz="4" w:space="0" w:color="auto"/>
              <w:bottom w:val="double" w:sz="4" w:space="0" w:color="auto"/>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2</w:t>
            </w:r>
          </w:p>
        </w:tc>
        <w:tc>
          <w:tcPr>
            <w:tcW w:w="1261" w:type="dxa"/>
            <w:tcBorders>
              <w:top w:val="single" w:sz="4" w:space="0" w:color="000000"/>
              <w:left w:val="double" w:sz="4" w:space="0" w:color="auto"/>
              <w:bottom w:val="double" w:sz="4" w:space="0" w:color="auto"/>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6</w:t>
            </w:r>
          </w:p>
        </w:tc>
      </w:tr>
      <w:tr w:rsidR="004359AA" w:rsidRPr="004359AA" w:rsidTr="004359AA">
        <w:trPr>
          <w:cantSplit/>
          <w:trHeight w:val="170"/>
        </w:trPr>
        <w:tc>
          <w:tcPr>
            <w:tcW w:w="392" w:type="dxa"/>
            <w:vMerge w:val="restart"/>
            <w:tcBorders>
              <w:top w:val="double" w:sz="4" w:space="0" w:color="auto"/>
              <w:left w:val="double" w:sz="4" w:space="0" w:color="auto"/>
              <w:bottom w:val="single" w:sz="4" w:space="0" w:color="000000"/>
              <w:right w:val="single" w:sz="4" w:space="0" w:color="000000"/>
            </w:tcBorders>
            <w:shd w:val="clear" w:color="auto" w:fill="FFFFFF"/>
            <w:textDirection w:val="btLr"/>
            <w:hideMark/>
          </w:tcPr>
          <w:p w:rsidR="004359AA" w:rsidRPr="004359AA" w:rsidRDefault="004359AA" w:rsidP="004359AA">
            <w:pPr>
              <w:spacing w:after="0" w:line="240" w:lineRule="auto"/>
              <w:ind w:left="113" w:right="113"/>
              <w:contextualSpacing/>
              <w:jc w:val="center"/>
              <w:rPr>
                <w:rFonts w:ascii="Palatino Linotype" w:eastAsia="Times New Roman" w:hAnsi="Palatino Linotype" w:cs="Times New Roman"/>
                <w:b/>
              </w:rPr>
            </w:pPr>
            <w:r w:rsidRPr="004359AA">
              <w:rPr>
                <w:rFonts w:ascii="Palatino Linotype" w:eastAsia="Times New Roman" w:hAnsi="Palatino Linotype" w:cs="Times New Roman"/>
                <w:b/>
              </w:rPr>
              <w:t>Structuur</w:t>
            </w:r>
          </w:p>
        </w:tc>
        <w:tc>
          <w:tcPr>
            <w:tcW w:w="2126" w:type="dxa"/>
            <w:tcBorders>
              <w:top w:val="double" w:sz="4" w:space="0" w:color="auto"/>
              <w:left w:val="double" w:sz="4" w:space="0" w:color="auto"/>
              <w:bottom w:val="single" w:sz="4" w:space="0" w:color="000000"/>
              <w:right w:val="single" w:sz="4" w:space="0" w:color="000000"/>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Inleiding</w:t>
            </w:r>
          </w:p>
        </w:tc>
        <w:tc>
          <w:tcPr>
            <w:tcW w:w="4536" w:type="dxa"/>
            <w:tcBorders>
              <w:top w:val="double" w:sz="4" w:space="0" w:color="auto"/>
              <w:left w:val="single" w:sz="4" w:space="0" w:color="000000"/>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 xml:space="preserve">Alle onderdelen van de inleiding zijn aanwezig en zijn in juiste volgorde en in trechtervorm verwerkt. </w:t>
            </w:r>
          </w:p>
        </w:tc>
        <w:tc>
          <w:tcPr>
            <w:tcW w:w="1261" w:type="dxa"/>
            <w:tcBorders>
              <w:top w:val="double" w:sz="4" w:space="0" w:color="auto"/>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double" w:sz="4" w:space="0" w:color="auto"/>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w:t>
            </w:r>
          </w:p>
        </w:tc>
      </w:tr>
      <w:tr w:rsidR="004359AA" w:rsidRPr="004359AA" w:rsidTr="004359AA">
        <w:trPr>
          <w:cantSplit/>
          <w:trHeight w:val="170"/>
        </w:trPr>
        <w:tc>
          <w:tcPr>
            <w:tcW w:w="392" w:type="dxa"/>
            <w:vMerge/>
            <w:tcBorders>
              <w:top w:val="double" w:sz="4" w:space="0" w:color="auto"/>
              <w:left w:val="double" w:sz="4" w:space="0" w:color="auto"/>
              <w:bottom w:val="single" w:sz="4" w:space="0" w:color="000000"/>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single" w:sz="4" w:space="0" w:color="000000"/>
              <w:right w:val="single" w:sz="4" w:space="0" w:color="000000"/>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Middendeel</w:t>
            </w:r>
          </w:p>
        </w:tc>
        <w:tc>
          <w:tcPr>
            <w:tcW w:w="4536" w:type="dxa"/>
            <w:tcBorders>
              <w:top w:val="single" w:sz="4" w:space="0" w:color="000000"/>
              <w:left w:val="single" w:sz="4" w:space="0" w:color="000000"/>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 xml:space="preserve">Er is een logische indeling gemaakt in paragrafen en alle onderdelen zijn uitgewerkt binnen de paragrafen. </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7,5</w:t>
            </w:r>
          </w:p>
        </w:tc>
      </w:tr>
      <w:tr w:rsidR="004359AA" w:rsidRPr="004359AA" w:rsidTr="004359AA">
        <w:trPr>
          <w:cantSplit/>
          <w:trHeight w:val="170"/>
        </w:trPr>
        <w:tc>
          <w:tcPr>
            <w:tcW w:w="392" w:type="dxa"/>
            <w:vMerge/>
            <w:tcBorders>
              <w:top w:val="double" w:sz="4" w:space="0" w:color="auto"/>
              <w:left w:val="double" w:sz="4" w:space="0" w:color="auto"/>
              <w:bottom w:val="single" w:sz="4" w:space="0" w:color="000000"/>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single" w:sz="4" w:space="0" w:color="000000"/>
              <w:right w:val="single" w:sz="4" w:space="0" w:color="000000"/>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Discussie</w:t>
            </w:r>
          </w:p>
        </w:tc>
        <w:tc>
          <w:tcPr>
            <w:tcW w:w="4536" w:type="dxa"/>
            <w:tcBorders>
              <w:top w:val="single" w:sz="4" w:space="0" w:color="000000"/>
              <w:left w:val="single" w:sz="4" w:space="0" w:color="000000"/>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onderdelen van de discussie zijn aanwezig en zijn in de juiste volgorde en in omgekeerde trechtervorm verwerkt.</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w:t>
            </w:r>
          </w:p>
        </w:tc>
      </w:tr>
      <w:tr w:rsidR="004359AA" w:rsidRPr="004359AA" w:rsidTr="004359AA">
        <w:trPr>
          <w:cantSplit/>
          <w:trHeight w:val="170"/>
        </w:trPr>
        <w:tc>
          <w:tcPr>
            <w:tcW w:w="392" w:type="dxa"/>
            <w:vMerge w:val="restart"/>
            <w:tcBorders>
              <w:top w:val="double" w:sz="4" w:space="0" w:color="auto"/>
              <w:left w:val="double" w:sz="4" w:space="0" w:color="auto"/>
              <w:bottom w:val="double" w:sz="4" w:space="0" w:color="auto"/>
              <w:right w:val="single" w:sz="4" w:space="0" w:color="000000"/>
            </w:tcBorders>
            <w:shd w:val="clear" w:color="auto" w:fill="FFFFFF"/>
            <w:textDirection w:val="btLr"/>
            <w:hideMark/>
          </w:tcPr>
          <w:p w:rsidR="004359AA" w:rsidRPr="004359AA" w:rsidRDefault="004359AA" w:rsidP="004359AA">
            <w:pPr>
              <w:spacing w:after="0" w:line="240" w:lineRule="auto"/>
              <w:ind w:left="113" w:right="113"/>
              <w:contextualSpacing/>
              <w:jc w:val="center"/>
              <w:rPr>
                <w:rFonts w:ascii="Palatino Linotype" w:eastAsia="Times New Roman" w:hAnsi="Palatino Linotype" w:cs="Times New Roman"/>
                <w:b/>
              </w:rPr>
            </w:pPr>
            <w:r w:rsidRPr="004359AA">
              <w:rPr>
                <w:rFonts w:ascii="Palatino Linotype" w:eastAsia="Times New Roman" w:hAnsi="Palatino Linotype" w:cs="Times New Roman"/>
                <w:b/>
              </w:rPr>
              <w:t>Vorm</w:t>
            </w:r>
          </w:p>
        </w:tc>
        <w:tc>
          <w:tcPr>
            <w:tcW w:w="2126" w:type="dxa"/>
            <w:tcBorders>
              <w:top w:val="double" w:sz="4" w:space="0" w:color="auto"/>
              <w:left w:val="double" w:sz="4" w:space="0" w:color="auto"/>
              <w:bottom w:val="single" w:sz="4" w:space="0" w:color="000000"/>
              <w:right w:val="single" w:sz="4" w:space="0" w:color="000000"/>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Wetenschappelijk taalgebruik</w:t>
            </w:r>
          </w:p>
        </w:tc>
        <w:tc>
          <w:tcPr>
            <w:tcW w:w="4536" w:type="dxa"/>
            <w:tcBorders>
              <w:top w:val="double" w:sz="4" w:space="0" w:color="auto"/>
              <w:left w:val="single" w:sz="4" w:space="0" w:color="000000"/>
              <w:bottom w:val="single" w:sz="4" w:space="0" w:color="000000"/>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color w:val="000000"/>
              </w:rPr>
            </w:pPr>
            <w:r w:rsidRPr="004359AA">
              <w:rPr>
                <w:rFonts w:ascii="Palatino Linotype" w:eastAsia="Times New Roman" w:hAnsi="Palatino Linotype" w:cs="Times New Roman"/>
                <w:color w:val="000000"/>
              </w:rPr>
              <w:t>Het literatuurverslag is in correct Nederlands geschreven en er is wetenschappelijk taalgebruik gehanteerd.</w:t>
            </w:r>
          </w:p>
        </w:tc>
        <w:tc>
          <w:tcPr>
            <w:tcW w:w="1261" w:type="dxa"/>
            <w:tcBorders>
              <w:top w:val="double" w:sz="4" w:space="0" w:color="auto"/>
              <w:left w:val="double" w:sz="4" w:space="0" w:color="auto"/>
              <w:bottom w:val="single" w:sz="4" w:space="0" w:color="000000"/>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double" w:sz="4" w:space="0" w:color="auto"/>
              <w:left w:val="double" w:sz="4" w:space="0" w:color="auto"/>
              <w:bottom w:val="single" w:sz="4" w:space="0" w:color="000000"/>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w:t>
            </w:r>
          </w:p>
        </w:tc>
      </w:tr>
      <w:tr w:rsidR="004359AA" w:rsidRPr="004359AA" w:rsidTr="004359AA">
        <w:trPr>
          <w:cantSplit/>
          <w:trHeight w:val="170"/>
        </w:trPr>
        <w:tc>
          <w:tcPr>
            <w:tcW w:w="392" w:type="dxa"/>
            <w:vMerge/>
            <w:tcBorders>
              <w:top w:val="double" w:sz="4" w:space="0" w:color="auto"/>
              <w:left w:val="double" w:sz="4" w:space="0" w:color="auto"/>
              <w:bottom w:val="double" w:sz="4" w:space="0" w:color="auto"/>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double" w:sz="4" w:space="0" w:color="auto"/>
              <w:right w:val="single" w:sz="4" w:space="0" w:color="000000"/>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Tekstuele   samenhang</w:t>
            </w:r>
          </w:p>
        </w:tc>
        <w:tc>
          <w:tcPr>
            <w:tcW w:w="4536" w:type="dxa"/>
            <w:tcBorders>
              <w:top w:val="single" w:sz="4" w:space="0" w:color="000000"/>
              <w:left w:val="single" w:sz="4" w:space="0" w:color="000000"/>
              <w:bottom w:val="double" w:sz="4" w:space="0" w:color="auto"/>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rPr>
            </w:pPr>
            <w:r w:rsidRPr="004359AA">
              <w:rPr>
                <w:rFonts w:ascii="Palatino Linotype" w:eastAsia="Times New Roman" w:hAnsi="Palatino Linotype" w:cs="Times New Roman"/>
              </w:rPr>
              <w:t>Het literatuurverslag is tekstueel samenhangend en goed tekstueel geïntegreerd.</w:t>
            </w:r>
          </w:p>
        </w:tc>
        <w:tc>
          <w:tcPr>
            <w:tcW w:w="1261" w:type="dxa"/>
            <w:tcBorders>
              <w:top w:val="single" w:sz="4" w:space="0" w:color="000000"/>
              <w:left w:val="double" w:sz="4" w:space="0" w:color="auto"/>
              <w:bottom w:val="double" w:sz="4" w:space="0" w:color="auto"/>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2</w:t>
            </w:r>
          </w:p>
        </w:tc>
        <w:tc>
          <w:tcPr>
            <w:tcW w:w="1261" w:type="dxa"/>
            <w:tcBorders>
              <w:top w:val="single" w:sz="4" w:space="0" w:color="000000"/>
              <w:left w:val="double" w:sz="4" w:space="0" w:color="auto"/>
              <w:bottom w:val="double" w:sz="4" w:space="0" w:color="auto"/>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6,5</w:t>
            </w:r>
          </w:p>
        </w:tc>
      </w:tr>
      <w:tr w:rsidR="004359AA" w:rsidRPr="004359AA" w:rsidTr="004359AA">
        <w:trPr>
          <w:cantSplit/>
          <w:trHeight w:val="170"/>
        </w:trPr>
        <w:tc>
          <w:tcPr>
            <w:tcW w:w="392" w:type="dxa"/>
            <w:tcBorders>
              <w:top w:val="double" w:sz="4" w:space="0" w:color="auto"/>
              <w:left w:val="double" w:sz="4" w:space="0" w:color="auto"/>
              <w:bottom w:val="double" w:sz="4" w:space="0" w:color="auto"/>
              <w:right w:val="single" w:sz="4" w:space="0" w:color="000000"/>
            </w:tcBorders>
            <w:textDirection w:val="btLr"/>
            <w:hideMark/>
          </w:tcPr>
          <w:p w:rsidR="004359AA" w:rsidRPr="004359AA" w:rsidRDefault="004359AA" w:rsidP="004359AA">
            <w:pPr>
              <w:spacing w:after="0" w:line="240" w:lineRule="auto"/>
              <w:ind w:left="113" w:right="113"/>
              <w:contextualSpacing/>
              <w:jc w:val="center"/>
              <w:rPr>
                <w:rFonts w:ascii="Palatino Linotype" w:eastAsia="Times New Roman" w:hAnsi="Palatino Linotype" w:cs="Times New Roman"/>
                <w:b/>
              </w:rPr>
            </w:pPr>
            <w:r w:rsidRPr="004359AA">
              <w:rPr>
                <w:rFonts w:ascii="Palatino Linotype" w:eastAsia="Times New Roman" w:hAnsi="Palatino Linotype" w:cs="Times New Roman"/>
                <w:b/>
              </w:rPr>
              <w:t>Formeel</w:t>
            </w:r>
          </w:p>
        </w:tc>
        <w:tc>
          <w:tcPr>
            <w:tcW w:w="2126" w:type="dxa"/>
            <w:tcBorders>
              <w:top w:val="double" w:sz="4" w:space="0" w:color="auto"/>
              <w:left w:val="double" w:sz="4" w:space="0" w:color="auto"/>
              <w:bottom w:val="double" w:sz="4" w:space="0" w:color="auto"/>
              <w:right w:val="single" w:sz="4" w:space="0" w:color="000000"/>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Refereren</w:t>
            </w:r>
          </w:p>
        </w:tc>
        <w:tc>
          <w:tcPr>
            <w:tcW w:w="4536" w:type="dxa"/>
            <w:tcBorders>
              <w:top w:val="double" w:sz="4" w:space="0" w:color="auto"/>
              <w:left w:val="single" w:sz="4" w:space="0" w:color="000000"/>
              <w:bottom w:val="double" w:sz="4" w:space="0" w:color="auto"/>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Er wordt op de juiste plaats in de tekst naar de literatuur gerefereerd.</w:t>
            </w:r>
          </w:p>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De referenties in de tekst en de literatuurlijst zijn volgens de handleiding opgemaakt.</w:t>
            </w:r>
          </w:p>
        </w:tc>
        <w:tc>
          <w:tcPr>
            <w:tcW w:w="1261" w:type="dxa"/>
            <w:tcBorders>
              <w:top w:val="double" w:sz="4" w:space="0" w:color="auto"/>
              <w:left w:val="double" w:sz="4" w:space="0" w:color="auto"/>
              <w:bottom w:val="double" w:sz="4" w:space="0" w:color="auto"/>
              <w:right w:val="double" w:sz="4" w:space="0" w:color="auto"/>
            </w:tcBorders>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1</w:t>
            </w:r>
          </w:p>
          <w:p w:rsidR="004359AA" w:rsidRPr="004359AA" w:rsidRDefault="004359AA" w:rsidP="004359AA">
            <w:pPr>
              <w:spacing w:after="0" w:line="240" w:lineRule="auto"/>
              <w:contextualSpacing/>
              <w:rPr>
                <w:rFonts w:ascii="Palatino Linotype" w:eastAsia="Times New Roman" w:hAnsi="Palatino Linotype" w:cs="Times New Roman"/>
                <w:b/>
              </w:rPr>
            </w:pPr>
          </w:p>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1</w:t>
            </w:r>
          </w:p>
        </w:tc>
        <w:tc>
          <w:tcPr>
            <w:tcW w:w="1261" w:type="dxa"/>
            <w:tcBorders>
              <w:top w:val="double" w:sz="4" w:space="0" w:color="auto"/>
              <w:left w:val="double" w:sz="4" w:space="0" w:color="auto"/>
              <w:bottom w:val="double" w:sz="4" w:space="0" w:color="auto"/>
              <w:right w:val="double" w:sz="4" w:space="0" w:color="auto"/>
            </w:tcBorders>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w:t>
            </w:r>
          </w:p>
          <w:p w:rsidR="004359AA" w:rsidRPr="004359AA" w:rsidRDefault="004359AA" w:rsidP="004359AA">
            <w:pPr>
              <w:spacing w:after="0" w:line="240" w:lineRule="auto"/>
              <w:contextualSpacing/>
              <w:rPr>
                <w:rFonts w:ascii="Palatino Linotype" w:eastAsia="Times New Roman" w:hAnsi="Palatino Linotype" w:cs="Times New Roman"/>
                <w:b/>
              </w:rPr>
            </w:pPr>
          </w:p>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7,5</w:t>
            </w:r>
          </w:p>
        </w:tc>
      </w:tr>
    </w:tbl>
    <w:p w:rsidR="004359AA" w:rsidRPr="004359AA" w:rsidRDefault="004359AA" w:rsidP="004359AA">
      <w:pPr>
        <w:spacing w:after="0" w:line="240" w:lineRule="auto"/>
        <w:contextualSpacing/>
        <w:rPr>
          <w:rFonts w:ascii="Palatino Linotype" w:eastAsia="Times New Roman" w:hAnsi="Palatino Linotype" w:cs="Times New Roman"/>
          <w:b/>
          <w:u w:val="single"/>
        </w:rPr>
      </w:pPr>
    </w:p>
    <w:p w:rsidR="004359AA" w:rsidRPr="004359AA" w:rsidRDefault="004359AA" w:rsidP="004359AA">
      <w:pPr>
        <w:spacing w:after="200" w:line="276" w:lineRule="auto"/>
        <w:contextualSpacing/>
        <w:rPr>
          <w:rFonts w:ascii="Palatino Linotype" w:eastAsia="Times New Roman" w:hAnsi="Palatino Linotype" w:cs="Times New Roman"/>
        </w:rPr>
      </w:pPr>
      <w:r w:rsidRPr="004359AA">
        <w:rPr>
          <w:rFonts w:ascii="Palatino Linotype" w:eastAsia="Times New Roman" w:hAnsi="Palatino Linotype" w:cs="Times New Roman"/>
        </w:rPr>
        <w:t>Beantwoord ook de vragen op de volgende bladzijde.</w:t>
      </w:r>
    </w:p>
    <w:p w:rsidR="004359AA" w:rsidRPr="004359AA" w:rsidRDefault="004359AA" w:rsidP="004359AA">
      <w:pPr>
        <w:spacing w:after="0" w:line="240" w:lineRule="auto"/>
        <w:contextualSpacing/>
        <w:rPr>
          <w:rFonts w:ascii="Palatino Linotype" w:eastAsia="Times New Roman" w:hAnsi="Palatino Linotype" w:cs="Times New Roman"/>
        </w:rPr>
      </w:pPr>
      <w:r w:rsidRPr="004359AA">
        <w:rPr>
          <w:rFonts w:ascii="Palatino Linotype" w:eastAsia="Times New Roman" w:hAnsi="Palatino Linotype" w:cs="Times New Roman"/>
        </w:rPr>
        <w:br w:type="page"/>
      </w:r>
    </w:p>
    <w:p w:rsidR="004359AA" w:rsidRPr="004359AA" w:rsidRDefault="004359AA" w:rsidP="004359AA">
      <w:pPr>
        <w:spacing w:after="200" w:line="360" w:lineRule="auto"/>
        <w:contextualSpacing/>
        <w:jc w:val="both"/>
        <w:rPr>
          <w:rFonts w:ascii="Palatino Linotype" w:eastAsia="Times New Roman" w:hAnsi="Palatino Linotype" w:cs="Times New Roman"/>
          <w:b/>
        </w:rPr>
      </w:pPr>
      <w:r w:rsidRPr="004359AA">
        <w:rPr>
          <w:rFonts w:ascii="Palatino Linotype" w:eastAsia="Times New Roman" w:hAnsi="Palatino Linotype" w:cs="Times New Roman"/>
          <w:b/>
        </w:rPr>
        <w:lastRenderedPageBreak/>
        <w:t>Wat is in jouw ogen het sterkste punt van dit literatuurverslag? Leg uit:</w:t>
      </w:r>
    </w:p>
    <w:p w:rsidR="004359AA" w:rsidRPr="004359AA" w:rsidRDefault="004359AA" w:rsidP="004359AA">
      <w:pPr>
        <w:spacing w:after="200" w:line="360" w:lineRule="auto"/>
        <w:contextualSpacing/>
        <w:jc w:val="both"/>
        <w:rPr>
          <w:rFonts w:ascii="Palatino Linotype" w:eastAsia="Times New Roman" w:hAnsi="Palatino Linotype" w:cs="Times New Roman"/>
        </w:rPr>
      </w:pPr>
      <w:r w:rsidRPr="004359AA">
        <w:rPr>
          <w:rFonts w:ascii="Palatino Linotype" w:eastAsia="Times New Roman" w:hAnsi="Palatino Linotype" w:cs="Times New Roman"/>
        </w:rPr>
        <w:t>De experimenten en deelconclusies zijn helder weergegeven en sluiten goed op elkaar aan.</w:t>
      </w:r>
    </w:p>
    <w:p w:rsidR="004359AA" w:rsidRPr="004359AA" w:rsidRDefault="004359AA" w:rsidP="004359AA">
      <w:pPr>
        <w:spacing w:after="200" w:line="360" w:lineRule="auto"/>
        <w:contextualSpacing/>
        <w:rPr>
          <w:rFonts w:ascii="Palatino Linotype" w:eastAsia="Times New Roman" w:hAnsi="Palatino Linotype" w:cs="Times New Roman"/>
        </w:rPr>
      </w:pPr>
    </w:p>
    <w:p w:rsidR="004359AA" w:rsidRPr="004359AA" w:rsidRDefault="004359AA" w:rsidP="004359AA">
      <w:pPr>
        <w:spacing w:after="200" w:line="360" w:lineRule="auto"/>
        <w:contextualSpacing/>
        <w:rPr>
          <w:rFonts w:ascii="Palatino Linotype" w:eastAsia="Times New Roman" w:hAnsi="Palatino Linotype" w:cs="Times New Roman"/>
        </w:rPr>
      </w:pPr>
      <w:r w:rsidRPr="004359AA">
        <w:rPr>
          <w:rFonts w:ascii="Palatino Linotype" w:eastAsia="Times New Roman" w:hAnsi="Palatino Linotype" w:cs="Times New Roman"/>
          <w:b/>
        </w:rPr>
        <w:t>Wat vond je het lastigst aan dit verslag? Is er een onderdeel dat je als zwak zou bestempelen of voor je gevoel maar niet in de vingers kreeg? Leg uit:</w:t>
      </w:r>
      <w:r w:rsidRPr="004359AA">
        <w:rPr>
          <w:rFonts w:ascii="Palatino Linotype" w:eastAsia="Times New Roman" w:hAnsi="Palatino Linotype" w:cs="Times New Roman"/>
        </w:rPr>
        <w:t xml:space="preserve"> </w:t>
      </w:r>
    </w:p>
    <w:p w:rsidR="004359AA" w:rsidRPr="004359AA" w:rsidRDefault="004359AA" w:rsidP="004359AA">
      <w:pPr>
        <w:spacing w:after="200" w:line="360" w:lineRule="auto"/>
        <w:contextualSpacing/>
        <w:rPr>
          <w:rFonts w:ascii="Palatino Linotype" w:eastAsia="Times New Roman" w:hAnsi="Palatino Linotype" w:cs="Times New Roman"/>
        </w:rPr>
      </w:pPr>
      <w:r w:rsidRPr="004359AA">
        <w:rPr>
          <w:rFonts w:ascii="Palatino Linotype" w:eastAsia="Times New Roman" w:hAnsi="Palatino Linotype" w:cs="Times New Roman"/>
        </w:rPr>
        <w:t xml:space="preserve">Terugkoppeling naar eerdere bevindingen en de brede context waren lastig. De resultaten kwamen overeen met eerdere bevindengen maar vereisen nog veel meer  vervolgonderzoek voordat je er echt iets mee kan doen. Het onderzoek is maatschappelijk relevant maar niet uitgebreid genoeg om maatschappelijk iets mee te kunnen. </w:t>
      </w:r>
    </w:p>
    <w:p w:rsidR="005709F7" w:rsidRDefault="005709F7"/>
    <w:sectPr w:rsidR="005709F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C1" w:rsidRDefault="00FD22C1" w:rsidP="00222FC3">
      <w:pPr>
        <w:spacing w:after="0" w:line="240" w:lineRule="auto"/>
      </w:pPr>
      <w:r>
        <w:separator/>
      </w:r>
    </w:p>
  </w:endnote>
  <w:endnote w:type="continuationSeparator" w:id="0">
    <w:p w:rsidR="00FD22C1" w:rsidRDefault="00FD22C1" w:rsidP="0022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06062"/>
      <w:docPartObj>
        <w:docPartGallery w:val="Page Numbers (Bottom of Page)"/>
        <w:docPartUnique/>
      </w:docPartObj>
    </w:sdtPr>
    <w:sdtEndPr>
      <w:rPr>
        <w:noProof/>
      </w:rPr>
    </w:sdtEndPr>
    <w:sdtContent>
      <w:p w:rsidR="00222FC3" w:rsidRDefault="00222FC3">
        <w:pPr>
          <w:pStyle w:val="Footer"/>
          <w:jc w:val="right"/>
        </w:pPr>
      </w:p>
      <w:p w:rsidR="00222FC3" w:rsidRDefault="00222F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22FC3" w:rsidRDefault="00222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C1" w:rsidRDefault="00FD22C1" w:rsidP="00222FC3">
      <w:pPr>
        <w:spacing w:after="0" w:line="240" w:lineRule="auto"/>
      </w:pPr>
      <w:r>
        <w:separator/>
      </w:r>
    </w:p>
  </w:footnote>
  <w:footnote w:type="continuationSeparator" w:id="0">
    <w:p w:rsidR="00FD22C1" w:rsidRDefault="00FD22C1" w:rsidP="00222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AA"/>
    <w:rsid w:val="00046C7A"/>
    <w:rsid w:val="000B34D6"/>
    <w:rsid w:val="00222FC3"/>
    <w:rsid w:val="0031394D"/>
    <w:rsid w:val="004359AA"/>
    <w:rsid w:val="004366D6"/>
    <w:rsid w:val="005244F6"/>
    <w:rsid w:val="005709F7"/>
    <w:rsid w:val="005962B4"/>
    <w:rsid w:val="005D62D8"/>
    <w:rsid w:val="00671476"/>
    <w:rsid w:val="007705E6"/>
    <w:rsid w:val="007B3E04"/>
    <w:rsid w:val="0086750B"/>
    <w:rsid w:val="008F7948"/>
    <w:rsid w:val="009604A3"/>
    <w:rsid w:val="00964581"/>
    <w:rsid w:val="009956AB"/>
    <w:rsid w:val="009F3637"/>
    <w:rsid w:val="00A60ED2"/>
    <w:rsid w:val="00B647DE"/>
    <w:rsid w:val="00C03AC4"/>
    <w:rsid w:val="00C94345"/>
    <w:rsid w:val="00CB4801"/>
    <w:rsid w:val="00CC7999"/>
    <w:rsid w:val="00D12BA0"/>
    <w:rsid w:val="00D575CD"/>
    <w:rsid w:val="00FD22C1"/>
    <w:rsid w:val="00FF1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2FC3"/>
  </w:style>
  <w:style w:type="paragraph" w:styleId="Footer">
    <w:name w:val="footer"/>
    <w:basedOn w:val="Normal"/>
    <w:link w:val="FooterChar"/>
    <w:uiPriority w:val="99"/>
    <w:unhideWhenUsed/>
    <w:rsid w:val="00222F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2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2FC3"/>
  </w:style>
  <w:style w:type="paragraph" w:styleId="Footer">
    <w:name w:val="footer"/>
    <w:basedOn w:val="Normal"/>
    <w:link w:val="FooterChar"/>
    <w:uiPriority w:val="99"/>
    <w:unhideWhenUsed/>
    <w:rsid w:val="00222F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1797</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WakaFlocka</dc:creator>
  <cp:lastModifiedBy>WakaFlocka</cp:lastModifiedBy>
  <cp:revision>2</cp:revision>
  <dcterms:created xsi:type="dcterms:W3CDTF">2013-02-14T20:36:00Z</dcterms:created>
  <dcterms:modified xsi:type="dcterms:W3CDTF">2013-02-14T20:36:00Z</dcterms:modified>
</cp:coreProperties>
</file>