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55EAA38C" w:rsidR="00B4692D" w:rsidRPr="00161F4E" w:rsidRDefault="00B4692D" w:rsidP="00814376">
      <w:pPr>
        <w:pStyle w:val="2estreepjes"/>
        <w:numPr>
          <w:ilvl w:val="0"/>
          <w:numId w:val="0"/>
        </w:numPr>
        <w:rPr>
          <w:b/>
          <w:sz w:val="22"/>
          <w:szCs w:val="22"/>
        </w:rPr>
      </w:pPr>
      <w:bookmarkStart w:id="0" w:name="_GoBack"/>
      <w:bookmarkEnd w:id="0"/>
      <w:r w:rsidRPr="00161F4E">
        <w:rPr>
          <w:b/>
          <w:sz w:val="22"/>
          <w:szCs w:val="22"/>
        </w:rPr>
        <w:t xml:space="preserve">Notulen </w:t>
      </w:r>
      <w:r w:rsidR="00EF4DB8">
        <w:rPr>
          <w:b/>
          <w:sz w:val="22"/>
          <w:szCs w:val="22"/>
        </w:rPr>
        <w:t>20</w:t>
      </w:r>
      <w:r w:rsidR="008E0309">
        <w:rPr>
          <w:b/>
          <w:sz w:val="22"/>
          <w:szCs w:val="22"/>
        </w:rPr>
        <w:t xml:space="preserve"> februari</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710ECEA5" w:rsidR="00CF3A10" w:rsidRPr="00161F4E" w:rsidRDefault="00B4692D" w:rsidP="00814376">
      <w:pPr>
        <w:rPr>
          <w:szCs w:val="22"/>
        </w:rPr>
      </w:pPr>
      <w:r w:rsidRPr="00161F4E">
        <w:rPr>
          <w:b/>
          <w:szCs w:val="22"/>
        </w:rPr>
        <w:t xml:space="preserve">Aanwezig: </w:t>
      </w:r>
      <w:r w:rsidR="00560278" w:rsidRPr="00CE3F9B">
        <w:rPr>
          <w:szCs w:val="22"/>
        </w:rPr>
        <w:t>Jerry (voorzitter),</w:t>
      </w:r>
      <w:r w:rsidR="008E0309">
        <w:rPr>
          <w:szCs w:val="22"/>
        </w:rPr>
        <w:t xml:space="preserve"> </w:t>
      </w:r>
      <w:r w:rsidR="00177E78">
        <w:rPr>
          <w:szCs w:val="22"/>
        </w:rPr>
        <w:t>Nico, Ilja, Christa, Karlijn, Elske, Elisa</w:t>
      </w:r>
      <w:r w:rsidR="00EF4DB8">
        <w:rPr>
          <w:szCs w:val="22"/>
        </w:rPr>
        <w:t>, Lisette (notulist), Joris, Hanneke</w:t>
      </w:r>
    </w:p>
    <w:p w14:paraId="479A7D30" w14:textId="5D15DF59" w:rsidR="009C240C" w:rsidRPr="00161F4E" w:rsidRDefault="008E0309" w:rsidP="00814376">
      <w:pPr>
        <w:rPr>
          <w:b/>
          <w:szCs w:val="22"/>
        </w:rPr>
      </w:pPr>
      <w:r>
        <w:rPr>
          <w:b/>
          <w:szCs w:val="22"/>
        </w:rPr>
        <w:t xml:space="preserve">Afwezig: </w:t>
      </w:r>
      <w:r w:rsidR="00302223">
        <w:rPr>
          <w:b/>
          <w:szCs w:val="22"/>
        </w:rPr>
        <w:t>-</w:t>
      </w:r>
    </w:p>
    <w:p w14:paraId="379D49AF" w14:textId="77777777" w:rsidR="0020341F" w:rsidRPr="00161F4E" w:rsidRDefault="0020341F" w:rsidP="00814376">
      <w:pPr>
        <w:rPr>
          <w:szCs w:val="22"/>
        </w:rPr>
      </w:pPr>
    </w:p>
    <w:p w14:paraId="02FDE919" w14:textId="00C34C58"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b/>
          <w:bCs/>
          <w:sz w:val="20"/>
        </w:rPr>
        <w:t xml:space="preserve">Vergadering woensdag </w:t>
      </w:r>
      <w:r w:rsidR="00177E78">
        <w:rPr>
          <w:rFonts w:ascii="Calibri" w:eastAsia="Times New Roman" w:hAnsi="Calibri" w:cs="Calibri"/>
          <w:b/>
          <w:bCs/>
          <w:sz w:val="20"/>
        </w:rPr>
        <w:t>1</w:t>
      </w:r>
      <w:r w:rsidR="00EF4DB8">
        <w:rPr>
          <w:rFonts w:ascii="Calibri" w:eastAsia="Times New Roman" w:hAnsi="Calibri" w:cs="Calibri"/>
          <w:b/>
          <w:bCs/>
          <w:sz w:val="20"/>
        </w:rPr>
        <w:t>4</w:t>
      </w:r>
      <w:r w:rsidRPr="00ED63D7">
        <w:rPr>
          <w:rFonts w:ascii="Calibri" w:eastAsia="Times New Roman" w:hAnsi="Calibri" w:cs="Calibri"/>
          <w:b/>
          <w:bCs/>
          <w:sz w:val="20"/>
        </w:rPr>
        <w:t xml:space="preserve"> februari</w:t>
      </w:r>
      <w:r w:rsidR="00302223">
        <w:rPr>
          <w:rFonts w:ascii="Calibri" w:eastAsia="Times New Roman" w:hAnsi="Calibri" w:cs="Calibri"/>
          <w:b/>
          <w:bCs/>
          <w:sz w:val="20"/>
        </w:rPr>
        <w:t xml:space="preserve"> 2013 (week 8</w:t>
      </w:r>
      <w:r w:rsidRPr="00ED63D7">
        <w:rPr>
          <w:rFonts w:ascii="Calibri" w:eastAsia="Times New Roman" w:hAnsi="Calibri" w:cs="Calibri"/>
          <w:b/>
          <w:bCs/>
          <w:sz w:val="20"/>
        </w:rPr>
        <w:t xml:space="preserve">)                        B1.49C                   Notulist: </w:t>
      </w:r>
      <w:r w:rsidR="00EF4DB8">
        <w:rPr>
          <w:rFonts w:ascii="Calibri" w:eastAsia="Times New Roman" w:hAnsi="Calibri" w:cs="Calibri"/>
          <w:b/>
          <w:bCs/>
          <w:sz w:val="20"/>
        </w:rPr>
        <w:t>Lisette</w:t>
      </w:r>
    </w:p>
    <w:p w14:paraId="1F6E042A"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13.00-13.10          Notulen en actielijst</w:t>
      </w:r>
    </w:p>
    <w:p w14:paraId="5AA284B7"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13.10-13.20          Mededelingen en ingekomen stukken</w:t>
      </w:r>
    </w:p>
    <w:p w14:paraId="27CA48EF"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13.20-13.40          Voorbespreking WG 15</w:t>
      </w:r>
    </w:p>
    <w:p w14:paraId="165CB43F"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13.40-14.25          Literatuurverslag: proces en beoordelingsmodel</w:t>
      </w:r>
    </w:p>
    <w:p w14:paraId="7D7B89EF"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14:25 -14.35         WVTTK</w:t>
      </w:r>
    </w:p>
    <w:p w14:paraId="076786BF"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14.35-14.40          Rondvraag</w:t>
      </w:r>
    </w:p>
    <w:p w14:paraId="29A8F6AD" w14:textId="77777777" w:rsidR="00302223" w:rsidRPr="00302223" w:rsidRDefault="00302223" w:rsidP="00302223">
      <w:pPr>
        <w:contextualSpacing w:val="0"/>
        <w:rPr>
          <w:rFonts w:ascii="Calibri" w:eastAsia="Times New Roman" w:hAnsi="Calibri" w:cs="Calibri"/>
          <w:szCs w:val="22"/>
        </w:rPr>
      </w:pPr>
      <w:r w:rsidRPr="00302223">
        <w:rPr>
          <w:rFonts w:ascii="Calibri" w:eastAsia="Times New Roman" w:hAnsi="Calibri" w:cs="Calibri"/>
          <w:sz w:val="20"/>
        </w:rPr>
        <w:t>14.45-15.15          Collen (Collega Ondersteunend Leren)</w:t>
      </w:r>
    </w:p>
    <w:p w14:paraId="4D7762D2"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Cs w:val="22"/>
        </w:rPr>
        <w:t> </w:t>
      </w:r>
    </w:p>
    <w:p w14:paraId="1A660E91" w14:textId="0C863F58" w:rsidR="007044E2" w:rsidRPr="00161F4E" w:rsidRDefault="00177E78" w:rsidP="00356F60">
      <w:pPr>
        <w:pStyle w:val="2estreepjes"/>
        <w:numPr>
          <w:ilvl w:val="0"/>
          <w:numId w:val="0"/>
        </w:numPr>
        <w:rPr>
          <w:b/>
          <w:sz w:val="22"/>
          <w:szCs w:val="22"/>
        </w:rPr>
      </w:pPr>
      <w:r>
        <w:rPr>
          <w:b/>
          <w:sz w:val="22"/>
          <w:szCs w:val="22"/>
        </w:rPr>
        <w:t xml:space="preserve">Notulen </w:t>
      </w:r>
      <w:r w:rsidR="00E76725">
        <w:rPr>
          <w:b/>
          <w:sz w:val="22"/>
          <w:szCs w:val="22"/>
        </w:rPr>
        <w:t>13</w:t>
      </w:r>
      <w:r w:rsidR="007044E2">
        <w:rPr>
          <w:b/>
          <w:sz w:val="22"/>
          <w:szCs w:val="22"/>
        </w:rPr>
        <w:t xml:space="preserve"> </w:t>
      </w:r>
      <w:r>
        <w:rPr>
          <w:b/>
          <w:sz w:val="22"/>
          <w:szCs w:val="22"/>
        </w:rPr>
        <w:t>februari</w:t>
      </w:r>
    </w:p>
    <w:p w14:paraId="6C9D550F" w14:textId="1C2238C5" w:rsidR="00A075BE" w:rsidRDefault="00302223" w:rsidP="008E0309">
      <w:pPr>
        <w:pStyle w:val="ListBullet"/>
        <w:numPr>
          <w:ilvl w:val="0"/>
          <w:numId w:val="21"/>
        </w:numPr>
      </w:pPr>
      <w:r>
        <w:t>Wijzigingen in de aanwezigenlijst zijn doorgegeven aan Nico.</w:t>
      </w:r>
    </w:p>
    <w:p w14:paraId="1C55ABEA" w14:textId="77777777" w:rsidR="00FD5009" w:rsidRDefault="00FD5009" w:rsidP="008E0309">
      <w:pPr>
        <w:rPr>
          <w:b/>
        </w:rPr>
      </w:pPr>
    </w:p>
    <w:p w14:paraId="246DA572" w14:textId="77777777" w:rsidR="008E0309" w:rsidRDefault="008E0309" w:rsidP="008E0309">
      <w:pPr>
        <w:rPr>
          <w:b/>
        </w:rPr>
      </w:pPr>
      <w:r>
        <w:rPr>
          <w:b/>
        </w:rPr>
        <w:t>Actielijst</w:t>
      </w:r>
    </w:p>
    <w:p w14:paraId="4650CA4C" w14:textId="4AB9AE96" w:rsidR="008E0309" w:rsidRDefault="008E0309" w:rsidP="008E0309">
      <w:pPr>
        <w:pStyle w:val="ListBullet"/>
        <w:numPr>
          <w:ilvl w:val="0"/>
          <w:numId w:val="21"/>
        </w:numPr>
      </w:pPr>
      <w:r>
        <w:t>Alles blijft staan</w:t>
      </w:r>
      <w:r w:rsidR="00E76725">
        <w:t>.</w:t>
      </w:r>
    </w:p>
    <w:p w14:paraId="6AD510FD" w14:textId="77777777" w:rsidR="00A075BE" w:rsidRPr="00822562" w:rsidRDefault="00A075BE" w:rsidP="00A075BE">
      <w:pPr>
        <w:pStyle w:val="ListBullet"/>
        <w:numPr>
          <w:ilvl w:val="0"/>
          <w:numId w:val="0"/>
        </w:numPr>
        <w:ind w:left="360"/>
      </w:pPr>
    </w:p>
    <w:p w14:paraId="17F04412" w14:textId="2B37A151" w:rsidR="00B4692D"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4B1F1419" w14:textId="14360EA1" w:rsidR="00E76725" w:rsidRDefault="00302223" w:rsidP="007044E2">
      <w:pPr>
        <w:pStyle w:val="Streepjes"/>
      </w:pPr>
      <w:r>
        <w:t>Nico -</w:t>
      </w:r>
      <w:r w:rsidR="00E76725">
        <w:t xml:space="preserve"> Telefoonlijst: Studenten zijn niet op de hoogte dat ze gebeld kunnen worden</w:t>
      </w:r>
      <w:r>
        <w:t xml:space="preserve"> door docenten ABV van het tweede semester</w:t>
      </w:r>
      <w:r w:rsidR="00E76725">
        <w:t xml:space="preserve">. Joris: We zouden altijd </w:t>
      </w:r>
      <w:r>
        <w:t xml:space="preserve">hun telefoonnummer </w:t>
      </w:r>
      <w:r w:rsidR="00E76725">
        <w:t xml:space="preserve">kunnen </w:t>
      </w:r>
      <w:r>
        <w:t xml:space="preserve">achterhalen </w:t>
      </w:r>
      <w:r w:rsidR="00E76725">
        <w:t>via de administratie, dus hoeven we dat niet apart te benadrukken</w:t>
      </w:r>
      <w:r>
        <w:t xml:space="preserve"> bij het opmaken van de telefoonlijst</w:t>
      </w:r>
      <w:r w:rsidR="00E76725">
        <w:t>.</w:t>
      </w:r>
    </w:p>
    <w:p w14:paraId="43E3A922" w14:textId="78DC03A9" w:rsidR="00E76725" w:rsidRDefault="00FD5009" w:rsidP="007044E2">
      <w:pPr>
        <w:pStyle w:val="Streepjes"/>
      </w:pPr>
      <w:r>
        <w:t xml:space="preserve">Jerry: </w:t>
      </w:r>
      <w:r w:rsidR="00E76725">
        <w:t>Op 13 maart zal de vergadertrainer aanwezig zijn (Jasper). Na afloop zal hij feedback geven</w:t>
      </w:r>
      <w:r w:rsidR="00302223">
        <w:t xml:space="preserve"> op de vergadering</w:t>
      </w:r>
      <w:r w:rsidR="00E76725">
        <w:t>.</w:t>
      </w:r>
    </w:p>
    <w:p w14:paraId="1F2EA552" w14:textId="7F4C0D38" w:rsidR="0082188D" w:rsidRDefault="00E76725" w:rsidP="007044E2">
      <w:pPr>
        <w:pStyle w:val="Streepjes"/>
      </w:pPr>
      <w:r>
        <w:t>Jerry: Linda vraagt z.s.m. door te geven wanneer we willen gaan fietsen voor de inspanningsproef. Het zou handig zijn als mensen van ons op 5 maart kunnen, zodat de begeleider</w:t>
      </w:r>
      <w:r w:rsidR="00302223">
        <w:t>s kunnen oefenen op ons voordat de studenten kunnen. De practic</w:t>
      </w:r>
      <w:r>
        <w:t xml:space="preserve">umbegeleiders zijn aanwezig bij het fietsen. </w:t>
      </w:r>
      <w:r w:rsidR="00302223">
        <w:t xml:space="preserve">De fietsproef doen is </w:t>
      </w:r>
      <w:r>
        <w:t xml:space="preserve">nuttig is voor onszelf </w:t>
      </w:r>
      <w:r w:rsidR="00302223">
        <w:t>(als het de eerste keer is) en de oefenende practicumbegeleiders</w:t>
      </w:r>
      <w:r>
        <w:t xml:space="preserve">. </w:t>
      </w:r>
      <w:r w:rsidR="00302223">
        <w:t>Ook komt d</w:t>
      </w:r>
      <w:r>
        <w:t xml:space="preserve">e data in de database. </w:t>
      </w:r>
    </w:p>
    <w:p w14:paraId="7343994C" w14:textId="46AA2536" w:rsidR="00E76725" w:rsidRDefault="00E76725" w:rsidP="007044E2">
      <w:pPr>
        <w:pStyle w:val="Streepjes"/>
      </w:pPr>
      <w:r>
        <w:t>Jerry: In het uitgebreide schema van de eindpresentatie staat dat groep 1 en 2 op verschillende data artikelen moeten inleveren, i.t.t. in de powerpoint en in de opdracht. Wees je hiervan bewust.</w:t>
      </w:r>
    </w:p>
    <w:p w14:paraId="41E94E5B" w14:textId="5B42257E" w:rsidR="00E76725" w:rsidRDefault="00E76725" w:rsidP="007044E2">
      <w:pPr>
        <w:pStyle w:val="Streepjes"/>
      </w:pPr>
      <w:r>
        <w:t xml:space="preserve">Jerry: In het </w:t>
      </w:r>
      <w:r w:rsidR="00860BF7">
        <w:t xml:space="preserve">oude </w:t>
      </w:r>
      <w:r>
        <w:t xml:space="preserve">draaiboek staat </w:t>
      </w:r>
      <w:r w:rsidR="00CD0BA2">
        <w:t xml:space="preserve">nog </w:t>
      </w:r>
      <w:r>
        <w:t xml:space="preserve">dat je zelf </w:t>
      </w:r>
      <w:r w:rsidR="00302223">
        <w:t xml:space="preserve">de vragenlijst </w:t>
      </w:r>
      <w:r>
        <w:t xml:space="preserve">moet printen: </w:t>
      </w:r>
      <w:r w:rsidR="00CD0BA2">
        <w:t xml:space="preserve">Deze </w:t>
      </w:r>
      <w:r>
        <w:t xml:space="preserve">zit </w:t>
      </w:r>
      <w:r w:rsidR="00724FB9">
        <w:t xml:space="preserve">aan </w:t>
      </w:r>
      <w:r w:rsidR="00CD0BA2">
        <w:t xml:space="preserve">de </w:t>
      </w:r>
      <w:r w:rsidR="00724FB9">
        <w:t xml:space="preserve">hand-out vast. </w:t>
      </w:r>
      <w:r w:rsidR="00860BF7">
        <w:t>Het s</w:t>
      </w:r>
      <w:r w:rsidR="00724FB9">
        <w:t>taat al goed in het nieuwe draaiboek.</w:t>
      </w:r>
    </w:p>
    <w:p w14:paraId="61381942" w14:textId="77777777" w:rsidR="00D1357C" w:rsidRDefault="00D1357C" w:rsidP="00224EC7">
      <w:pPr>
        <w:rPr>
          <w:b/>
        </w:rPr>
      </w:pPr>
    </w:p>
    <w:p w14:paraId="03013314" w14:textId="7FDC5CDE" w:rsidR="00224EC7" w:rsidRDefault="00A075BE" w:rsidP="00224EC7">
      <w:pPr>
        <w:rPr>
          <w:b/>
        </w:rPr>
      </w:pPr>
      <w:r>
        <w:rPr>
          <w:b/>
        </w:rPr>
        <w:t>Voorbespreken WG 1</w:t>
      </w:r>
      <w:r w:rsidR="00E76725">
        <w:rPr>
          <w:b/>
        </w:rPr>
        <w:t>5</w:t>
      </w:r>
    </w:p>
    <w:p w14:paraId="6C853ED7" w14:textId="77777777" w:rsidR="00CD0BA2" w:rsidRDefault="00860BF7" w:rsidP="007044E2">
      <w:pPr>
        <w:pStyle w:val="ListParagraph"/>
        <w:numPr>
          <w:ilvl w:val="0"/>
          <w:numId w:val="19"/>
        </w:numPr>
      </w:pPr>
      <w:r>
        <w:t xml:space="preserve">Elske vraagt of peer-review binnen of buiten de groepjes wordt gedaan. </w:t>
      </w:r>
      <w:r w:rsidR="00CD0BA2">
        <w:t>Iedereen doet het b</w:t>
      </w:r>
      <w:r>
        <w:t>uiten de groepjes</w:t>
      </w:r>
      <w:r w:rsidR="00CD0BA2">
        <w:t xml:space="preserve">. Het voordeel hiervan is dat studenten dan door </w:t>
      </w:r>
      <w:r>
        <w:t xml:space="preserve">minder voorkennis beter </w:t>
      </w:r>
      <w:r w:rsidR="00CD0BA2">
        <w:t xml:space="preserve">kunnen </w:t>
      </w:r>
      <w:r>
        <w:t xml:space="preserve">inschatten of alle informatie erin staat en </w:t>
      </w:r>
      <w:r w:rsidR="00CD0BA2">
        <w:t xml:space="preserve">of </w:t>
      </w:r>
      <w:r>
        <w:t xml:space="preserve">een argumentatie </w:t>
      </w:r>
      <w:r>
        <w:lastRenderedPageBreak/>
        <w:t xml:space="preserve">logisch is. Het nalopen van de argumentatieladder is </w:t>
      </w:r>
      <w:r w:rsidR="00CD0BA2">
        <w:t xml:space="preserve">namelijk </w:t>
      </w:r>
      <w:r>
        <w:t xml:space="preserve">onderdeel van de peer-review. </w:t>
      </w:r>
    </w:p>
    <w:p w14:paraId="4D3349A5" w14:textId="4E4F070E" w:rsidR="00860BF7" w:rsidRDefault="00860BF7" w:rsidP="007044E2">
      <w:pPr>
        <w:pStyle w:val="ListParagraph"/>
        <w:numPr>
          <w:ilvl w:val="0"/>
          <w:numId w:val="19"/>
        </w:numPr>
      </w:pPr>
      <w:r>
        <w:t xml:space="preserve">Let erop dat je </w:t>
      </w:r>
      <w:r w:rsidR="00CD0BA2">
        <w:t>feedback in koppels laat doen omdat het nabespreken anders lastig wordt</w:t>
      </w:r>
      <w:r>
        <w:t xml:space="preserve">. </w:t>
      </w:r>
    </w:p>
    <w:p w14:paraId="55F75DDA" w14:textId="2D14B333" w:rsidR="00860BF7" w:rsidRDefault="00860BF7" w:rsidP="007044E2">
      <w:pPr>
        <w:pStyle w:val="ListParagraph"/>
        <w:numPr>
          <w:ilvl w:val="0"/>
          <w:numId w:val="19"/>
        </w:numPr>
      </w:pPr>
      <w:r>
        <w:t xml:space="preserve">De volgorde van het presenteren van een figuur door de student en daarna pas aangeven hoe het had gemoeten heeft als nadeel dat studenten (als ze de HWV niet hebben doorgelezen) geen feedback op de 5 stappen kunnen geven. </w:t>
      </w:r>
      <w:r>
        <w:br/>
        <w:t>Het is waarschijnlijk handig om wat voorbeelden van slechte figuren te schrappen i.v.m. de tijd. Het is</w:t>
      </w:r>
      <w:r w:rsidR="00CD0BA2">
        <w:t xml:space="preserve"> dan</w:t>
      </w:r>
      <w:r>
        <w:t xml:space="preserve"> leuk om met de laatste twee slides </w:t>
      </w:r>
      <w:r w:rsidR="00CD0BA2">
        <w:t xml:space="preserve">met slechte voorbeelden </w:t>
      </w:r>
      <w:r>
        <w:t xml:space="preserve">te </w:t>
      </w:r>
      <w:r w:rsidR="00CD0BA2">
        <w:t>beginnen ter illustratie van hoe het niet moet</w:t>
      </w:r>
      <w:r>
        <w:t xml:space="preserve">. </w:t>
      </w:r>
    </w:p>
    <w:p w14:paraId="3C073DDD" w14:textId="0E2B65AD" w:rsidR="00860BF7" w:rsidRDefault="00860BF7" w:rsidP="007044E2">
      <w:pPr>
        <w:pStyle w:val="ListParagraph"/>
        <w:numPr>
          <w:ilvl w:val="0"/>
          <w:numId w:val="19"/>
        </w:numPr>
      </w:pPr>
      <w:r>
        <w:t>Tonny heeft twee slides over het presenteren van (f)MRI-data. Elske gaat deze in de desbetreffende map op de server zetten</w:t>
      </w:r>
      <w:r w:rsidR="00CD0BA2">
        <w:t>, omdat die erg nuttig zijn om klassikaal te bespreken</w:t>
      </w:r>
      <w:r>
        <w:t>.</w:t>
      </w:r>
    </w:p>
    <w:p w14:paraId="32BDC0C7" w14:textId="6829992D" w:rsidR="00CD0BA2" w:rsidRPr="00CD0BA2" w:rsidRDefault="00D226C9" w:rsidP="00CD0BA2">
      <w:pPr>
        <w:pStyle w:val="ListParagraph"/>
        <w:numPr>
          <w:ilvl w:val="0"/>
          <w:numId w:val="19"/>
        </w:numPr>
      </w:pPr>
      <w:r>
        <w:t>De link over het in één oogopslag zien van tabellen versus grafieken doet het helaas niet meer, zag Joris.</w:t>
      </w:r>
      <w:r w:rsidR="00CD0BA2">
        <w:t xml:space="preserve"> (Dit is de goede link: </w:t>
      </w:r>
      <w:hyperlink r:id="rId12" w:history="1">
        <w:r w:rsidR="00CD0BA2" w:rsidRPr="00C12F10">
          <w:rPr>
            <w:rStyle w:val="Hyperlink"/>
          </w:rPr>
          <w:t>http://www.ncsu.edu/project/posters/SideWindows/TableVGraph/</w:t>
        </w:r>
      </w:hyperlink>
      <w:r w:rsidR="00CD0BA2">
        <w:t>)</w:t>
      </w:r>
    </w:p>
    <w:p w14:paraId="3B820B57" w14:textId="5482E79A" w:rsidR="00D226C9" w:rsidRDefault="00D226C9" w:rsidP="00CD0BA2"/>
    <w:p w14:paraId="04228C45" w14:textId="1421530E" w:rsidR="00BD5E22" w:rsidRDefault="00BD5E22" w:rsidP="00D226C9"/>
    <w:p w14:paraId="1E2FF35F" w14:textId="145928E1" w:rsidR="00D226C9" w:rsidRDefault="00D226C9" w:rsidP="00D226C9">
      <w:pPr>
        <w:rPr>
          <w:b/>
        </w:rPr>
      </w:pPr>
      <w:r>
        <w:rPr>
          <w:b/>
        </w:rPr>
        <w:t>LV: proces en beoordeling</w:t>
      </w:r>
    </w:p>
    <w:p w14:paraId="1B0EEF9E" w14:textId="4DB692DB" w:rsidR="00D226C9" w:rsidRDefault="00D226C9" w:rsidP="00D226C9">
      <w:r>
        <w:t>Het doel</w:t>
      </w:r>
      <w:r w:rsidR="00CD0BA2">
        <w:t xml:space="preserve"> van dit agendapunt</w:t>
      </w:r>
      <w:r>
        <w:t xml:space="preserve"> is om deze punten te evalueren en om suggesties voor verbeteringen </w:t>
      </w:r>
      <w:r w:rsidR="00444C79">
        <w:t xml:space="preserve">van het LV en de beoordeling ervan </w:t>
      </w:r>
      <w:r>
        <w:t xml:space="preserve">voor volgend jaar </w:t>
      </w:r>
      <w:r w:rsidR="00CD0BA2">
        <w:t>vast te leggen, zodat het ontwikkelteam daarmee aan de slag kan</w:t>
      </w:r>
      <w:r>
        <w:t xml:space="preserve">. </w:t>
      </w:r>
      <w:r w:rsidR="00444C79">
        <w:t>De aanleiding is het algemeen heersende sentiment studenten te snel een voldoende te moeten geven. Elske heeft een samenvatting gemaakt van alle haar door ons toegemailde punten.</w:t>
      </w:r>
    </w:p>
    <w:p w14:paraId="7BEF0D39" w14:textId="4BE230C9" w:rsidR="00444C79" w:rsidRDefault="00444C79" w:rsidP="00D226C9">
      <w:r>
        <w:t>De punten waar we het over hebben gehad waren de beoordelingsmodellen, het gebruik van de opzet en het voorkauwen van (deel)vragen en –experimenten. Een levendige discussie volgde. De conclusies zijn hieronder puntsgewijs weergegeven</w:t>
      </w:r>
      <w:r w:rsidR="000C78BD">
        <w:t>, met een korte inleiding</w:t>
      </w:r>
      <w:r>
        <w:t>:</w:t>
      </w:r>
    </w:p>
    <w:p w14:paraId="42D1B729" w14:textId="372AB265" w:rsidR="00D226C9" w:rsidRDefault="00D226C9" w:rsidP="00D226C9">
      <w:pPr>
        <w:pStyle w:val="ListParagraph"/>
        <w:numPr>
          <w:ilvl w:val="0"/>
          <w:numId w:val="19"/>
        </w:numPr>
      </w:pPr>
      <w:r>
        <w:t>Beoordelingsmodellen</w:t>
      </w:r>
      <w:r w:rsidR="00444C79">
        <w:t>:</w:t>
      </w:r>
      <w:r w:rsidR="000C78BD">
        <w:br/>
        <w:t>Docenten vinden in het algemeen dat de structuur te zwaar weegt t.o.v. de inhoud en dat de structuur van het middendeel te weinig is gespecificeerd. De volgende punten worden ter verbetering aangedragen:</w:t>
      </w:r>
    </w:p>
    <w:p w14:paraId="647B5DE8" w14:textId="4F5A264A" w:rsidR="00444C79" w:rsidRDefault="00444C79" w:rsidP="00444C79">
      <w:pPr>
        <w:pStyle w:val="ListParagraph"/>
        <w:numPr>
          <w:ilvl w:val="1"/>
          <w:numId w:val="19"/>
        </w:numPr>
      </w:pPr>
      <w:r>
        <w:t>Bij inhoudelijke samenhang wordt de formulering zo aangepast dat ook de volgende punten eronder vallen:</w:t>
      </w:r>
    </w:p>
    <w:p w14:paraId="27CE0846" w14:textId="2D0FFDF6" w:rsidR="00444C79" w:rsidRDefault="00444C79" w:rsidP="00444C79">
      <w:pPr>
        <w:pStyle w:val="ListParagraph"/>
        <w:numPr>
          <w:ilvl w:val="2"/>
          <w:numId w:val="19"/>
        </w:numPr>
      </w:pPr>
      <w:r>
        <w:t>aansluiting van de discussie op het middendeel en weer op de inleiding</w:t>
      </w:r>
    </w:p>
    <w:p w14:paraId="26087227" w14:textId="520828D0" w:rsidR="00444C79" w:rsidRDefault="00444C79" w:rsidP="00444C79">
      <w:pPr>
        <w:pStyle w:val="ListParagraph"/>
        <w:numPr>
          <w:ilvl w:val="2"/>
          <w:numId w:val="19"/>
        </w:numPr>
      </w:pPr>
      <w:r>
        <w:t>of geïntroduceerde termen wel worden gebruikt (en gebruikte termen worden geïntroduceerd);</w:t>
      </w:r>
    </w:p>
    <w:p w14:paraId="67DBF0AB" w14:textId="68B664FF" w:rsidR="00444C79" w:rsidRDefault="00444C79" w:rsidP="00444C79">
      <w:pPr>
        <w:pStyle w:val="ListParagraph"/>
        <w:numPr>
          <w:ilvl w:val="1"/>
          <w:numId w:val="19"/>
        </w:numPr>
      </w:pPr>
      <w:r>
        <w:t>Bij inhoud krijgt het middendeel een punt minder;</w:t>
      </w:r>
    </w:p>
    <w:p w14:paraId="1E26BC41" w14:textId="387FF33A" w:rsidR="00444C79" w:rsidRDefault="00444C79" w:rsidP="00444C79">
      <w:pPr>
        <w:pStyle w:val="ListParagraph"/>
        <w:numPr>
          <w:ilvl w:val="1"/>
          <w:numId w:val="19"/>
        </w:numPr>
      </w:pPr>
      <w:r>
        <w:t>Bij structuur krijgt het middendeel een punt minder;</w:t>
      </w:r>
    </w:p>
    <w:p w14:paraId="018D60FA" w14:textId="41A6E87C" w:rsidR="00444C79" w:rsidRDefault="00444C79" w:rsidP="00444C79">
      <w:pPr>
        <w:pStyle w:val="ListParagraph"/>
        <w:numPr>
          <w:ilvl w:val="1"/>
          <w:numId w:val="19"/>
        </w:numPr>
      </w:pPr>
      <w:r>
        <w:t>Bij structuur wordt aan de formulering een term als ‘logische samenhang’ of ‘gestructureerd geschreven’ toegevoegd, naar analogie van de miniscriptie’.</w:t>
      </w:r>
    </w:p>
    <w:p w14:paraId="2EC300D7" w14:textId="77777777" w:rsidR="00415CFE" w:rsidRDefault="00415CFE" w:rsidP="00415CFE">
      <w:pPr>
        <w:pStyle w:val="ListParagraph"/>
        <w:ind w:left="1440"/>
      </w:pPr>
    </w:p>
    <w:p w14:paraId="2B5381D5" w14:textId="77777777" w:rsidR="000C78BD" w:rsidRDefault="00D226C9" w:rsidP="000C78BD">
      <w:pPr>
        <w:pStyle w:val="ListParagraph"/>
        <w:numPr>
          <w:ilvl w:val="0"/>
          <w:numId w:val="19"/>
        </w:numPr>
      </w:pPr>
      <w:r>
        <w:t xml:space="preserve">Gebruik </w:t>
      </w:r>
      <w:r w:rsidR="00317C8B">
        <w:t xml:space="preserve">van de </w:t>
      </w:r>
      <w:r>
        <w:t>opzet</w:t>
      </w:r>
      <w:r w:rsidR="00317C8B">
        <w:t xml:space="preserve"> van het literatuurverslag</w:t>
      </w:r>
      <w:r w:rsidR="000C78BD">
        <w:br/>
      </w:r>
      <w:r w:rsidR="00317C8B">
        <w:t xml:space="preserve">Het nadeel van het gebruik van de opzet van het literatuurverslag is dat de tekstuele </w:t>
      </w:r>
      <w:r w:rsidR="00317C8B">
        <w:lastRenderedPageBreak/>
        <w:t xml:space="preserve">integratie vermindert omdat studenten de </w:t>
      </w:r>
      <w:r w:rsidR="000C78BD">
        <w:t>experimenten centraal stellen, in plaats van de beantwoording van de deelvraag. Dit wordt in de hand gewerkt door de lay-out van het format, waarbij de studenten de experimenten onder elkaar moeten opsommen. Dat doen ze dan ook in hun verslag. Mogelijkheden om de opzet zo aan te passen dat er meer tekstuele integratie plaatsvindt, zijn:</w:t>
      </w:r>
    </w:p>
    <w:p w14:paraId="656199DB" w14:textId="77777777" w:rsidR="00415CFE" w:rsidRDefault="00415CFE" w:rsidP="000C78BD">
      <w:pPr>
        <w:pStyle w:val="ListParagraph"/>
        <w:numPr>
          <w:ilvl w:val="1"/>
          <w:numId w:val="19"/>
        </w:numPr>
      </w:pPr>
      <w:r>
        <w:t xml:space="preserve">Een andere, vrijere vorm voor de opzet van het middendeel aanbieden. Voorbeelden hiervan zijn een mind-map, de experimenten in verticale i.p.v. horizontale kolommen zetten en een wit vel papier waarop ze zelf een vorm kunnen kiezen. </w:t>
      </w:r>
    </w:p>
    <w:p w14:paraId="2D2F66FE" w14:textId="77777777" w:rsidR="00415CFE" w:rsidRDefault="00415CFE" w:rsidP="000C78BD">
      <w:pPr>
        <w:pStyle w:val="ListParagraph"/>
        <w:numPr>
          <w:ilvl w:val="1"/>
          <w:numId w:val="19"/>
        </w:numPr>
      </w:pPr>
      <w:r>
        <w:t xml:space="preserve">De werkgroepopdracht over het middendeel aanpassen. </w:t>
      </w:r>
    </w:p>
    <w:p w14:paraId="66586968" w14:textId="58E044FA" w:rsidR="00317C8B" w:rsidRDefault="000C78BD" w:rsidP="00415CFE">
      <w:pPr>
        <w:pStyle w:val="ListParagraph"/>
      </w:pPr>
      <w:r>
        <w:t xml:space="preserve">De vraag is of we meer van (eerstejaars) studenten kunnen verwachten dan dat ze nu produceren. </w:t>
      </w:r>
    </w:p>
    <w:p w14:paraId="0A03FFAA" w14:textId="77777777" w:rsidR="00415CFE" w:rsidRDefault="00415CFE" w:rsidP="00415CFE">
      <w:pPr>
        <w:pStyle w:val="ListParagraph"/>
      </w:pPr>
    </w:p>
    <w:p w14:paraId="3E0AD1F6" w14:textId="048E6555" w:rsidR="00D226C9" w:rsidRDefault="00D226C9" w:rsidP="00BD324E">
      <w:pPr>
        <w:pStyle w:val="ListParagraph"/>
        <w:numPr>
          <w:ilvl w:val="0"/>
          <w:numId w:val="19"/>
        </w:numPr>
      </w:pPr>
      <w:r>
        <w:t>Voorkauwen (deel)vragen en experimenten</w:t>
      </w:r>
      <w:r w:rsidR="00415CFE">
        <w:br/>
        <w:t xml:space="preserve">Vorig jaar mochten studenten zonder ondersteuning beslissen welke experimenten ze bij welke deelvraag behandelden. </w:t>
      </w:r>
      <w:r w:rsidR="00BD324E">
        <w:t xml:space="preserve">Omdat </w:t>
      </w:r>
      <w:r w:rsidR="00BD324E" w:rsidRPr="00BD324E">
        <w:t>verschillende mensen vonden dat de artikelen van Psychobiologie toch wel veel lastiger zijn dan die bij BMW en Biologie, en dat het daarom geoorloofd was om studenten wat meer te helpen bij de uitwerking</w:t>
      </w:r>
      <w:r w:rsidR="00415CFE">
        <w:t xml:space="preserve">, is er dit jaar voor gekozen om van tevoren aan te geven welke experimenten gebruikt konden worden. Dit is echter </w:t>
      </w:r>
      <w:r w:rsidR="00BD324E">
        <w:t xml:space="preserve">nog </w:t>
      </w:r>
      <w:r w:rsidR="00415CFE">
        <w:t>niet in alle opdrachten consequent doorgevoerd. De vraag is of het voorkauwen nu wel of niet een goed idee is. Voor- en nadelen die besproken werden waren:</w:t>
      </w:r>
    </w:p>
    <w:p w14:paraId="55F83A59" w14:textId="242F4082" w:rsidR="00415CFE" w:rsidRDefault="00415CFE" w:rsidP="00415CFE">
      <w:pPr>
        <w:pStyle w:val="ListParagraph"/>
        <w:numPr>
          <w:ilvl w:val="1"/>
          <w:numId w:val="19"/>
        </w:numPr>
      </w:pPr>
      <w:r>
        <w:t>Pro voorkauwen en weglaten van paragrafen uit de artikelen:</w:t>
      </w:r>
      <w:r w:rsidR="00243049">
        <w:t xml:space="preserve"> Niet alle studenten kunnen het zelf. </w:t>
      </w:r>
    </w:p>
    <w:p w14:paraId="43CA8136" w14:textId="27F7FBC5" w:rsidR="00243049" w:rsidRDefault="00243049" w:rsidP="00415CFE">
      <w:pPr>
        <w:pStyle w:val="ListParagraph"/>
        <w:numPr>
          <w:ilvl w:val="1"/>
          <w:numId w:val="19"/>
        </w:numPr>
      </w:pPr>
      <w:r>
        <w:t xml:space="preserve">Pro zelf doen en dan het selecteren van experimenten als leerdoel aanmerken: Zo worden studenten gedwongen om zich op deelvragen te richten en niet op experimenten. </w:t>
      </w:r>
    </w:p>
    <w:p w14:paraId="6F826BF0" w14:textId="61E90885" w:rsidR="00243049" w:rsidRDefault="00243049" w:rsidP="00243049">
      <w:pPr>
        <w:pStyle w:val="ListParagraph"/>
      </w:pPr>
      <w:r>
        <w:t>Volgend jaar wordt de artikelenset voor het literatuurverslag en de onderzoekbeschrijving aangepast voor psychobiologie, zodat hij beter aansluit op de parallel lopende vakken. Daarom gaan we hier verder niet op in.</w:t>
      </w:r>
    </w:p>
    <w:p w14:paraId="43F8C356" w14:textId="089844EC" w:rsidR="00243049" w:rsidRDefault="00243049" w:rsidP="00243049">
      <w:r>
        <w:t xml:space="preserve">Jerry stelt voor de voorstellen in het beoordelingsmodel te verwerken. Lisette zorgt hiervoor via een bijlage aan de notulen, zodat we het de volgende vergadering kort kunnen vaststellen/wijzigen. </w:t>
      </w:r>
    </w:p>
    <w:p w14:paraId="4918EC0B" w14:textId="77777777" w:rsidR="00243049" w:rsidRDefault="00243049" w:rsidP="00243049">
      <w:pPr>
        <w:pStyle w:val="ListParagraph"/>
      </w:pPr>
    </w:p>
    <w:p w14:paraId="2AD0C714" w14:textId="26722515" w:rsidR="005A579C" w:rsidRDefault="005A579C" w:rsidP="003C22E7">
      <w:r>
        <w:rPr>
          <w:b/>
        </w:rPr>
        <w:t>WVTTK</w:t>
      </w:r>
    </w:p>
    <w:p w14:paraId="04054FCE" w14:textId="7C67EF05" w:rsidR="005A579C" w:rsidRDefault="005F3D84" w:rsidP="005A579C">
      <w:pPr>
        <w:pStyle w:val="ListParagraph"/>
        <w:numPr>
          <w:ilvl w:val="0"/>
          <w:numId w:val="19"/>
        </w:numPr>
      </w:pPr>
      <w:r>
        <w:t>-</w:t>
      </w:r>
    </w:p>
    <w:p w14:paraId="786F9D3F" w14:textId="77777777" w:rsidR="005A579C" w:rsidRDefault="005A579C" w:rsidP="005A579C"/>
    <w:p w14:paraId="56311A01" w14:textId="34BF89A8" w:rsidR="005A579C" w:rsidRPr="005A579C" w:rsidRDefault="005A579C" w:rsidP="005A579C">
      <w:pPr>
        <w:rPr>
          <w:b/>
        </w:rPr>
      </w:pPr>
      <w:r w:rsidRPr="005A579C">
        <w:rPr>
          <w:b/>
        </w:rPr>
        <w:t>Rondvraag</w:t>
      </w:r>
    </w:p>
    <w:p w14:paraId="387F5AEE" w14:textId="5AB81161" w:rsidR="003C22E7" w:rsidRDefault="005F3D84" w:rsidP="003C22E7">
      <w:pPr>
        <w:pStyle w:val="ListParagraph"/>
        <w:numPr>
          <w:ilvl w:val="0"/>
          <w:numId w:val="19"/>
        </w:numPr>
      </w:pPr>
      <w:r>
        <w:t>-</w:t>
      </w:r>
    </w:p>
    <w:p w14:paraId="08D02BD0" w14:textId="77777777" w:rsidR="003C22E7" w:rsidRDefault="003C22E7" w:rsidP="003C22E7"/>
    <w:p w14:paraId="65D22E2A" w14:textId="77777777" w:rsidR="00BD324E" w:rsidRDefault="00BD324E" w:rsidP="003C22E7"/>
    <w:p w14:paraId="4B41FB9E" w14:textId="77777777" w:rsidR="00BD324E" w:rsidRDefault="00BD324E" w:rsidP="003C22E7"/>
    <w:p w14:paraId="3D5EA7A0" w14:textId="77777777" w:rsidR="00BD324E" w:rsidRDefault="00BD324E" w:rsidP="003C22E7"/>
    <w:p w14:paraId="352D8BC0" w14:textId="63D14A01" w:rsidR="003C22E7" w:rsidRPr="00132491" w:rsidRDefault="00132491" w:rsidP="00132491">
      <w:pPr>
        <w:pStyle w:val="2estreepjes"/>
        <w:numPr>
          <w:ilvl w:val="0"/>
          <w:numId w:val="0"/>
        </w:numPr>
        <w:rPr>
          <w:b/>
        </w:rPr>
      </w:pPr>
      <w:r>
        <w:rPr>
          <w:b/>
        </w:rPr>
        <w:lastRenderedPageBreak/>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8D0FAF" w:rsidRPr="00161F4E" w14:paraId="4DE276E0" w14:textId="77777777" w:rsidTr="001E481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(jjjj-mm-dd)</w:t>
            </w:r>
          </w:p>
        </w:tc>
        <w:tc>
          <w:tcPr>
            <w:tcW w:w="1843"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559"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(jjjj-mm-dd)</w:t>
            </w:r>
          </w:p>
        </w:tc>
      </w:tr>
      <w:tr w:rsidR="00A905A0" w:rsidRPr="00161F4E" w14:paraId="783B8E88" w14:textId="77777777" w:rsidTr="001E481F">
        <w:tc>
          <w:tcPr>
            <w:tcW w:w="1242" w:type="dxa"/>
          </w:tcPr>
          <w:p w14:paraId="49E26877" w14:textId="1BC545D2" w:rsidR="00A905A0" w:rsidRDefault="00FD5009" w:rsidP="001E481F">
            <w:pPr>
              <w:rPr>
                <w:rFonts w:eastAsia="Calibri"/>
              </w:rPr>
            </w:pPr>
            <w:r>
              <w:rPr>
                <w:rFonts w:eastAsia="Calibri"/>
              </w:rPr>
              <w:t>PB118</w:t>
            </w:r>
          </w:p>
        </w:tc>
        <w:tc>
          <w:tcPr>
            <w:tcW w:w="3515" w:type="dxa"/>
          </w:tcPr>
          <w:p w14:paraId="0DCE8995" w14:textId="77777777" w:rsidR="00A905A0" w:rsidRDefault="00A905A0" w:rsidP="001E481F">
            <w:pPr>
              <w:rPr>
                <w:rFonts w:eastAsia="Calibri"/>
              </w:rPr>
            </w:pPr>
          </w:p>
        </w:tc>
        <w:tc>
          <w:tcPr>
            <w:tcW w:w="1417" w:type="dxa"/>
          </w:tcPr>
          <w:p w14:paraId="4780BF44" w14:textId="77777777" w:rsidR="00A905A0" w:rsidRPr="00161F4E" w:rsidRDefault="00A905A0" w:rsidP="001E481F">
            <w:pPr>
              <w:rPr>
                <w:rFonts w:eastAsia="Calibri"/>
              </w:rPr>
            </w:pPr>
          </w:p>
        </w:tc>
        <w:tc>
          <w:tcPr>
            <w:tcW w:w="1843" w:type="dxa"/>
          </w:tcPr>
          <w:p w14:paraId="31367F00" w14:textId="6A0CA794" w:rsidR="00A905A0" w:rsidRDefault="00A905A0" w:rsidP="001E481F">
            <w:pPr>
              <w:rPr>
                <w:rFonts w:eastAsia="Calibri"/>
              </w:rPr>
            </w:pPr>
          </w:p>
        </w:tc>
        <w:tc>
          <w:tcPr>
            <w:tcW w:w="1559" w:type="dxa"/>
          </w:tcPr>
          <w:p w14:paraId="12B3010A" w14:textId="227B2A26" w:rsidR="00A905A0" w:rsidRPr="00161F4E" w:rsidRDefault="00A905A0" w:rsidP="00650553">
            <w:pPr>
              <w:rPr>
                <w:rFonts w:eastAsia="Calibri"/>
              </w:rPr>
            </w:pPr>
          </w:p>
        </w:tc>
      </w:tr>
      <w:tr w:rsidR="00C848DC" w:rsidRPr="00161F4E" w14:paraId="60A2A208" w14:textId="77777777" w:rsidTr="001E481F">
        <w:tc>
          <w:tcPr>
            <w:tcW w:w="1242" w:type="dxa"/>
          </w:tcPr>
          <w:p w14:paraId="35D7DD93" w14:textId="57F77549" w:rsidR="00C848DC" w:rsidRDefault="00C848DC" w:rsidP="00C848DC">
            <w:pPr>
              <w:rPr>
                <w:rFonts w:eastAsia="Calibri"/>
              </w:rPr>
            </w:pPr>
            <w:r>
              <w:rPr>
                <w:rFonts w:eastAsia="Calibri"/>
              </w:rPr>
              <w:t>PB117</w:t>
            </w:r>
          </w:p>
        </w:tc>
        <w:tc>
          <w:tcPr>
            <w:tcW w:w="3515" w:type="dxa"/>
          </w:tcPr>
          <w:p w14:paraId="355C22D4" w14:textId="1538D8CE" w:rsidR="00C848DC" w:rsidRDefault="00C848DC" w:rsidP="00C848DC">
            <w:pPr>
              <w:rPr>
                <w:rFonts w:eastAsia="Calibri"/>
              </w:rPr>
            </w:pPr>
            <w:r>
              <w:rPr>
                <w:rFonts w:eastAsia="Calibri"/>
              </w:rPr>
              <w:t>Zet telefoonlijsten in de betreffende map op de server</w:t>
            </w:r>
            <w:r w:rsidR="00E76725">
              <w:rPr>
                <w:rFonts w:eastAsia="Calibri"/>
              </w:rPr>
              <w:t xml:space="preserve"> (eerste en tweede semester)</w:t>
            </w:r>
          </w:p>
        </w:tc>
        <w:tc>
          <w:tcPr>
            <w:tcW w:w="1417" w:type="dxa"/>
          </w:tcPr>
          <w:p w14:paraId="2AB0E201" w14:textId="18395633" w:rsidR="00C848DC" w:rsidRPr="00161F4E" w:rsidRDefault="00C848DC" w:rsidP="00C848DC">
            <w:pPr>
              <w:rPr>
                <w:rFonts w:eastAsia="Calibri"/>
              </w:rPr>
            </w:pPr>
            <w:r>
              <w:rPr>
                <w:rFonts w:eastAsia="Calibri"/>
              </w:rPr>
              <w:t>2012-13-01</w:t>
            </w:r>
          </w:p>
        </w:tc>
        <w:tc>
          <w:tcPr>
            <w:tcW w:w="1843" w:type="dxa"/>
          </w:tcPr>
          <w:p w14:paraId="5EDB02AC" w14:textId="764C32C9" w:rsidR="00C848DC" w:rsidRDefault="00C848DC" w:rsidP="00C848DC">
            <w:pPr>
              <w:rPr>
                <w:rFonts w:eastAsia="Calibri"/>
              </w:rPr>
            </w:pPr>
            <w:r>
              <w:rPr>
                <w:rFonts w:eastAsia="Calibri"/>
              </w:rPr>
              <w:t>Iedereen</w:t>
            </w:r>
          </w:p>
        </w:tc>
        <w:tc>
          <w:tcPr>
            <w:tcW w:w="1559" w:type="dxa"/>
          </w:tcPr>
          <w:p w14:paraId="1302772D" w14:textId="290D1CEB" w:rsidR="00C848DC" w:rsidRPr="00161F4E" w:rsidRDefault="00E76725" w:rsidP="00243049">
            <w:pPr>
              <w:rPr>
                <w:rFonts w:eastAsia="Calibri"/>
              </w:rPr>
            </w:pPr>
            <w:r>
              <w:rPr>
                <w:rFonts w:eastAsia="Calibri"/>
              </w:rPr>
              <w:t>201</w:t>
            </w:r>
            <w:r w:rsidR="00243049">
              <w:rPr>
                <w:rFonts w:eastAsia="Calibri"/>
              </w:rPr>
              <w:t>3</w:t>
            </w:r>
            <w:r>
              <w:rPr>
                <w:rFonts w:eastAsia="Calibri"/>
              </w:rPr>
              <w:t>-</w:t>
            </w:r>
            <w:r w:rsidR="00243049">
              <w:rPr>
                <w:rFonts w:eastAsia="Calibri"/>
              </w:rPr>
              <w:t>0</w:t>
            </w:r>
            <w:r>
              <w:rPr>
                <w:rFonts w:eastAsia="Calibri"/>
              </w:rPr>
              <w:t>2</w:t>
            </w:r>
            <w:r w:rsidR="00C848DC">
              <w:rPr>
                <w:rFonts w:eastAsia="Calibri"/>
              </w:rPr>
              <w:t>-</w:t>
            </w:r>
            <w:r>
              <w:rPr>
                <w:rFonts w:eastAsia="Calibri"/>
              </w:rPr>
              <w:t>2</w:t>
            </w:r>
            <w:r w:rsidR="00243049">
              <w:rPr>
                <w:rFonts w:eastAsia="Calibri"/>
              </w:rPr>
              <w:t>7</w:t>
            </w:r>
          </w:p>
        </w:tc>
      </w:tr>
      <w:tr w:rsidR="00C848DC" w:rsidRPr="00161F4E" w14:paraId="3F6DA900" w14:textId="77777777" w:rsidTr="001E481F">
        <w:trPr>
          <w:trHeight w:val="350"/>
        </w:trPr>
        <w:tc>
          <w:tcPr>
            <w:tcW w:w="1242" w:type="dxa"/>
          </w:tcPr>
          <w:p w14:paraId="0F3714EB" w14:textId="43D5906C" w:rsidR="00C848DC" w:rsidRPr="00161F4E" w:rsidRDefault="00C848DC" w:rsidP="00C848DC">
            <w:pPr>
              <w:rPr>
                <w:rFonts w:eastAsia="Calibri"/>
              </w:rPr>
            </w:pPr>
            <w:r w:rsidRPr="00161F4E">
              <w:rPr>
                <w:rFonts w:eastAsia="Calibri"/>
              </w:rPr>
              <w:t>PB105</w:t>
            </w:r>
          </w:p>
        </w:tc>
        <w:tc>
          <w:tcPr>
            <w:tcW w:w="3515" w:type="dxa"/>
          </w:tcPr>
          <w:p w14:paraId="4F2A415B" w14:textId="5C00979A" w:rsidR="00C848DC" w:rsidRPr="00161F4E" w:rsidRDefault="00C848DC" w:rsidP="00C848DC">
            <w:pPr>
              <w:rPr>
                <w:rFonts w:eastAsia="Calibri"/>
              </w:rPr>
            </w:pPr>
            <w:r w:rsidRPr="00161F4E">
              <w:rPr>
                <w:rFonts w:eastAsia="Calibri"/>
              </w:rPr>
              <w:t>Check of er nog acties zijn op klussenlijst en bespreken in vergadering.</w:t>
            </w:r>
          </w:p>
        </w:tc>
        <w:tc>
          <w:tcPr>
            <w:tcW w:w="1417" w:type="dxa"/>
          </w:tcPr>
          <w:p w14:paraId="231A0C90" w14:textId="7312522D" w:rsidR="00C848DC" w:rsidRPr="00161F4E" w:rsidRDefault="00C848DC" w:rsidP="00C848DC">
            <w:pPr>
              <w:rPr>
                <w:rFonts w:eastAsia="Calibri"/>
              </w:rPr>
            </w:pPr>
            <w:r w:rsidRPr="00161F4E">
              <w:rPr>
                <w:rFonts w:eastAsia="Calibri"/>
              </w:rPr>
              <w:t>2012-11-07</w:t>
            </w:r>
          </w:p>
        </w:tc>
        <w:tc>
          <w:tcPr>
            <w:tcW w:w="1843" w:type="dxa"/>
          </w:tcPr>
          <w:p w14:paraId="3960B53F" w14:textId="6DDE75D9" w:rsidR="00C848DC" w:rsidRPr="00161F4E" w:rsidRDefault="00C848DC" w:rsidP="00C848DC">
            <w:pPr>
              <w:rPr>
                <w:rFonts w:eastAsia="Calibri"/>
              </w:rPr>
            </w:pPr>
            <w:r w:rsidRPr="00161F4E">
              <w:rPr>
                <w:rFonts w:eastAsia="Calibri"/>
              </w:rPr>
              <w:t>Iedereen</w:t>
            </w:r>
          </w:p>
        </w:tc>
        <w:tc>
          <w:tcPr>
            <w:tcW w:w="1559" w:type="dxa"/>
          </w:tcPr>
          <w:p w14:paraId="4E160FEC" w14:textId="6B6E026D" w:rsidR="00C848DC" w:rsidRPr="00161F4E" w:rsidRDefault="00C848DC" w:rsidP="00C848DC">
            <w:pPr>
              <w:rPr>
                <w:rFonts w:eastAsia="Calibri"/>
              </w:rPr>
            </w:pPr>
            <w:r w:rsidRPr="00161F4E">
              <w:rPr>
                <w:rFonts w:eastAsia="Calibri"/>
              </w:rPr>
              <w:t>Vóór iedere vergadering</w:t>
            </w:r>
          </w:p>
        </w:tc>
      </w:tr>
      <w:tr w:rsidR="00C848DC" w:rsidRPr="00161F4E" w14:paraId="2EC6510D" w14:textId="77777777" w:rsidTr="001E481F">
        <w:trPr>
          <w:trHeight w:val="350"/>
        </w:trPr>
        <w:tc>
          <w:tcPr>
            <w:tcW w:w="1242" w:type="dxa"/>
          </w:tcPr>
          <w:p w14:paraId="58DA7F00" w14:textId="522D6217" w:rsidR="00C848DC" w:rsidRPr="00161F4E" w:rsidRDefault="00C848DC" w:rsidP="00C848DC">
            <w:pPr>
              <w:rPr>
                <w:rFonts w:eastAsia="Calibri"/>
              </w:rPr>
            </w:pPr>
            <w:r w:rsidRPr="00161F4E">
              <w:rPr>
                <w:rFonts w:eastAsia="Calibri"/>
              </w:rPr>
              <w:t>PB103</w:t>
            </w:r>
          </w:p>
        </w:tc>
        <w:tc>
          <w:tcPr>
            <w:tcW w:w="3515" w:type="dxa"/>
          </w:tcPr>
          <w:p w14:paraId="514716C3" w14:textId="403787F7" w:rsidR="00C848DC" w:rsidRPr="00161F4E" w:rsidRDefault="00C848DC" w:rsidP="00C848DC">
            <w:pPr>
              <w:rPr>
                <w:rFonts w:eastAsia="Calibri"/>
              </w:rPr>
            </w:pPr>
            <w:r w:rsidRPr="00161F4E">
              <w:rPr>
                <w:rFonts w:eastAsia="Calibri"/>
              </w:rPr>
              <w:t xml:space="preserve">Nakijklijstjes (uitbreiding op beoordelingsmodel) in de map op </w:t>
            </w:r>
            <w:r>
              <w:rPr>
                <w:rFonts w:eastAsia="Calibri"/>
              </w:rPr>
              <w:t>SURFgroepen</w:t>
            </w:r>
            <w:r w:rsidRPr="00161F4E">
              <w:rPr>
                <w:rFonts w:eastAsia="Calibri"/>
              </w:rPr>
              <w:t xml:space="preserve"> zetten</w:t>
            </w:r>
          </w:p>
        </w:tc>
        <w:tc>
          <w:tcPr>
            <w:tcW w:w="1417" w:type="dxa"/>
          </w:tcPr>
          <w:p w14:paraId="2F412908" w14:textId="243C45C6" w:rsidR="00C848DC" w:rsidRPr="00161F4E" w:rsidRDefault="00C848DC" w:rsidP="00C848DC">
            <w:pPr>
              <w:rPr>
                <w:rFonts w:eastAsia="Calibri"/>
              </w:rPr>
            </w:pPr>
            <w:r w:rsidRPr="00161F4E">
              <w:rPr>
                <w:rFonts w:eastAsia="Calibri"/>
              </w:rPr>
              <w:t>2012-10-31</w:t>
            </w:r>
          </w:p>
        </w:tc>
        <w:tc>
          <w:tcPr>
            <w:tcW w:w="1843" w:type="dxa"/>
          </w:tcPr>
          <w:p w14:paraId="71CFEAD9" w14:textId="286205B2" w:rsidR="00C848DC" w:rsidRPr="00161F4E" w:rsidRDefault="00C848DC" w:rsidP="00C848DC">
            <w:pPr>
              <w:rPr>
                <w:rFonts w:eastAsia="Calibri"/>
              </w:rPr>
            </w:pPr>
            <w:r w:rsidRPr="00161F4E">
              <w:rPr>
                <w:rFonts w:eastAsia="Calibri"/>
              </w:rPr>
              <w:t>Iedereen met een lijstje</w:t>
            </w:r>
          </w:p>
        </w:tc>
        <w:tc>
          <w:tcPr>
            <w:tcW w:w="1559" w:type="dxa"/>
          </w:tcPr>
          <w:p w14:paraId="507189F5" w14:textId="5075FC4C" w:rsidR="00C848DC" w:rsidRPr="00161F4E" w:rsidRDefault="00C848DC" w:rsidP="00C848DC">
            <w:pPr>
              <w:rPr>
                <w:rFonts w:eastAsia="Calibri"/>
              </w:rPr>
            </w:pPr>
            <w:r w:rsidRPr="00161F4E">
              <w:rPr>
                <w:rFonts w:eastAsia="Calibri"/>
              </w:rPr>
              <w:t>Wanneer het uitkomt</w:t>
            </w:r>
          </w:p>
        </w:tc>
      </w:tr>
      <w:tr w:rsidR="00C848DC" w:rsidRPr="00161F4E" w14:paraId="7622D112" w14:textId="77777777" w:rsidTr="001E481F">
        <w:trPr>
          <w:trHeight w:val="350"/>
        </w:trPr>
        <w:tc>
          <w:tcPr>
            <w:tcW w:w="1242" w:type="dxa"/>
          </w:tcPr>
          <w:p w14:paraId="7618942F" w14:textId="71FA3707" w:rsidR="00C848DC" w:rsidRPr="00161F4E" w:rsidRDefault="00C848DC" w:rsidP="00C848DC">
            <w:pPr>
              <w:rPr>
                <w:rFonts w:eastAsia="Calibri"/>
              </w:rPr>
            </w:pPr>
            <w:r w:rsidRPr="00161F4E">
              <w:rPr>
                <w:rFonts w:eastAsia="Calibri"/>
              </w:rPr>
              <w:t>206</w:t>
            </w:r>
          </w:p>
        </w:tc>
        <w:tc>
          <w:tcPr>
            <w:tcW w:w="3515" w:type="dxa"/>
          </w:tcPr>
          <w:p w14:paraId="27F9B3B4" w14:textId="271DF205" w:rsidR="00C848DC" w:rsidRPr="00161F4E" w:rsidRDefault="00C848DC" w:rsidP="00C848DC">
            <w:pPr>
              <w:rPr>
                <w:rFonts w:eastAsia="Calibri"/>
              </w:rPr>
            </w:pPr>
            <w:r w:rsidRPr="00161F4E">
              <w:rPr>
                <w:rFonts w:eastAsia="Calibri"/>
              </w:rPr>
              <w:t>Back-up maken van belangrijke bestanden</w:t>
            </w:r>
          </w:p>
        </w:tc>
        <w:tc>
          <w:tcPr>
            <w:tcW w:w="1417" w:type="dxa"/>
          </w:tcPr>
          <w:p w14:paraId="316FD822" w14:textId="42DA61A3" w:rsidR="00C848DC" w:rsidRPr="00161F4E" w:rsidRDefault="00C848DC" w:rsidP="00C848DC">
            <w:pPr>
              <w:rPr>
                <w:rFonts w:eastAsia="Calibri"/>
              </w:rPr>
            </w:pPr>
            <w:r w:rsidRPr="00161F4E">
              <w:rPr>
                <w:rFonts w:eastAsia="Calibri"/>
              </w:rPr>
              <w:t>2007-08-29</w:t>
            </w:r>
          </w:p>
        </w:tc>
        <w:tc>
          <w:tcPr>
            <w:tcW w:w="1843" w:type="dxa"/>
          </w:tcPr>
          <w:p w14:paraId="2AC35EBA" w14:textId="4EE0906B" w:rsidR="00C848DC" w:rsidRPr="00161F4E" w:rsidRDefault="00C848DC" w:rsidP="00C848DC">
            <w:pPr>
              <w:rPr>
                <w:rFonts w:eastAsia="Calibri"/>
              </w:rPr>
            </w:pPr>
            <w:r w:rsidRPr="00161F4E">
              <w:rPr>
                <w:rFonts w:eastAsia="Calibri"/>
              </w:rPr>
              <w:t>Iedereen</w:t>
            </w:r>
          </w:p>
        </w:tc>
        <w:tc>
          <w:tcPr>
            <w:tcW w:w="1559" w:type="dxa"/>
          </w:tcPr>
          <w:p w14:paraId="2415DF43" w14:textId="1811296C" w:rsidR="00C848DC" w:rsidRPr="00161F4E" w:rsidRDefault="00C848DC" w:rsidP="00C848DC">
            <w:pPr>
              <w:rPr>
                <w:rFonts w:eastAsia="Calibri"/>
              </w:rPr>
            </w:pPr>
            <w:r w:rsidRPr="00161F4E">
              <w:rPr>
                <w:rFonts w:eastAsia="Calibri"/>
              </w:rPr>
              <w:t>eerste v.d. maand</w:t>
            </w:r>
          </w:p>
        </w:tc>
      </w:tr>
      <w:tr w:rsidR="00C848DC" w:rsidRPr="00161F4E" w14:paraId="23EDFF79" w14:textId="77777777" w:rsidTr="001E481F">
        <w:trPr>
          <w:trHeight w:val="350"/>
        </w:trPr>
        <w:tc>
          <w:tcPr>
            <w:tcW w:w="1242" w:type="dxa"/>
          </w:tcPr>
          <w:p w14:paraId="53D7547C" w14:textId="4138A8BD" w:rsidR="00C848DC" w:rsidRPr="00161F4E" w:rsidRDefault="00C848DC" w:rsidP="00C848DC">
            <w:pPr>
              <w:rPr>
                <w:rFonts w:eastAsia="Calibri"/>
              </w:rPr>
            </w:pPr>
            <w:r w:rsidRPr="00161F4E">
              <w:rPr>
                <w:rFonts w:eastAsia="Calibri"/>
              </w:rPr>
              <w:t>280</w:t>
            </w:r>
          </w:p>
        </w:tc>
        <w:tc>
          <w:tcPr>
            <w:tcW w:w="3515" w:type="dxa"/>
          </w:tcPr>
          <w:p w14:paraId="06D0F6A3" w14:textId="6D162D6B" w:rsidR="00C848DC" w:rsidRPr="00161F4E" w:rsidRDefault="00C848DC" w:rsidP="00C848DC">
            <w:pPr>
              <w:rPr>
                <w:rFonts w:eastAsia="Calibri"/>
              </w:rPr>
            </w:pPr>
            <w:r w:rsidRPr="00161F4E">
              <w:rPr>
                <w:rFonts w:eastAsia="Calibri"/>
              </w:rPr>
              <w:t>Definitieve onvoldoendes en uitvallers z.s.m. doorgeven aan Jerry</w:t>
            </w:r>
          </w:p>
        </w:tc>
        <w:tc>
          <w:tcPr>
            <w:tcW w:w="1417" w:type="dxa"/>
          </w:tcPr>
          <w:p w14:paraId="199279AC" w14:textId="75383A28" w:rsidR="00C848DC" w:rsidRPr="00161F4E" w:rsidRDefault="00C848DC" w:rsidP="00C848DC">
            <w:pPr>
              <w:rPr>
                <w:rFonts w:eastAsia="Calibri"/>
              </w:rPr>
            </w:pPr>
            <w:r w:rsidRPr="00161F4E">
              <w:rPr>
                <w:rFonts w:eastAsia="Calibri"/>
              </w:rPr>
              <w:t>2007-11-28</w:t>
            </w:r>
          </w:p>
        </w:tc>
        <w:tc>
          <w:tcPr>
            <w:tcW w:w="1843" w:type="dxa"/>
          </w:tcPr>
          <w:p w14:paraId="235286A4" w14:textId="091BF3F7" w:rsidR="00C848DC" w:rsidRPr="00161F4E" w:rsidRDefault="00C848DC" w:rsidP="00C848DC">
            <w:pPr>
              <w:rPr>
                <w:rFonts w:eastAsia="Calibri"/>
              </w:rPr>
            </w:pPr>
            <w:r w:rsidRPr="00161F4E">
              <w:rPr>
                <w:rFonts w:eastAsia="Calibri"/>
              </w:rPr>
              <w:t xml:space="preserve">Iedereen </w:t>
            </w:r>
          </w:p>
        </w:tc>
        <w:tc>
          <w:tcPr>
            <w:tcW w:w="1559" w:type="dxa"/>
          </w:tcPr>
          <w:p w14:paraId="3003FC2C" w14:textId="106AFFB5" w:rsidR="00C848DC" w:rsidRPr="00161F4E" w:rsidRDefault="00C848DC" w:rsidP="00C848DC">
            <w:pPr>
              <w:rPr>
                <w:rFonts w:eastAsia="Calibri"/>
              </w:rPr>
            </w:pPr>
            <w:r w:rsidRPr="00161F4E">
              <w:rPr>
                <w:rFonts w:eastAsia="Calibri"/>
              </w:rPr>
              <w:t>zodra van toepassing</w:t>
            </w:r>
          </w:p>
        </w:tc>
      </w:tr>
    </w:tbl>
    <w:p w14:paraId="31473E4F" w14:textId="39E1095A" w:rsidR="00BD324E" w:rsidRDefault="00BD324E" w:rsidP="00D6034E">
      <w:pPr>
        <w:pStyle w:val="NoSpacing"/>
        <w:rPr>
          <w:rFonts w:ascii="Palatino Linotype" w:hAnsi="Palatino Linotype"/>
          <w:lang w:val="nl-NL"/>
        </w:rPr>
      </w:pPr>
    </w:p>
    <w:p w14:paraId="0930A3EE" w14:textId="77777777" w:rsidR="00BD324E" w:rsidRDefault="00BD324E">
      <w:pPr>
        <w:spacing w:after="200" w:line="276" w:lineRule="auto"/>
        <w:contextualSpacing w:val="0"/>
        <w:rPr>
          <w:rFonts w:eastAsia="Times New Roman" w:cs="Times New Roman"/>
          <w:szCs w:val="22"/>
          <w:lang w:bidi="en-US"/>
        </w:rPr>
      </w:pPr>
      <w:r>
        <w:br w:type="page"/>
      </w:r>
    </w:p>
    <w:p w14:paraId="2A0D99F5" w14:textId="2FCFB098" w:rsidR="00BD324E" w:rsidRDefault="00BD324E" w:rsidP="00BD324E">
      <w:pPr>
        <w:pStyle w:val="Heading3"/>
        <w:rPr>
          <w:b/>
        </w:rPr>
      </w:pPr>
      <w:bookmarkStart w:id="1" w:name="_Toc325542311"/>
      <w:r>
        <w:rPr>
          <w:b/>
        </w:rPr>
        <w:lastRenderedPageBreak/>
        <w:t xml:space="preserve">Bijlage bij de notulen: HWV </w:t>
      </w:r>
      <w:r>
        <w:rPr>
          <w:b/>
        </w:rPr>
        <w:t>8.9 Beoordelingsmodel literatuurverslag</w:t>
      </w:r>
      <w:bookmarkEnd w:id="1"/>
      <w:r>
        <w:rPr>
          <w:b/>
        </w:rPr>
        <w:fldChar w:fldCharType="begin"/>
      </w:r>
      <w:r>
        <w:rPr>
          <w:b/>
        </w:rPr>
        <w:instrText xml:space="preserve"> XE "Beoordelingsmodel:literatuurverslag" </w:instrText>
      </w:r>
      <w:r>
        <w:rPr>
          <w:b/>
        </w:rPr>
        <w:fldChar w:fldCharType="end"/>
      </w:r>
      <w:r>
        <w:rPr>
          <w:b/>
        </w:rPr>
        <w:t xml:space="preserve"> </w:t>
      </w:r>
    </w:p>
    <w:p w14:paraId="66D82431" w14:textId="77777777" w:rsidR="00BD324E" w:rsidRDefault="00BD324E" w:rsidP="00BD324E">
      <w:pPr>
        <w:pStyle w:val="normaal"/>
      </w:pPr>
    </w:p>
    <w:tbl>
      <w:tblPr>
        <w:tblpPr w:leftFromText="180" w:rightFromText="180" w:vertAnchor="text" w:tblpY="1"/>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95"/>
      </w:tblGrid>
      <w:tr w:rsidR="00BD324E" w14:paraId="633299EC" w14:textId="77777777" w:rsidTr="00FB5EBF">
        <w:trPr>
          <w:cantSplit/>
        </w:trPr>
        <w:tc>
          <w:tcPr>
            <w:tcW w:w="392" w:type="dxa"/>
            <w:tcBorders>
              <w:top w:val="nil"/>
              <w:left w:val="nil"/>
              <w:bottom w:val="double" w:sz="4" w:space="0" w:color="auto"/>
              <w:right w:val="single" w:sz="4" w:space="0" w:color="000000"/>
            </w:tcBorders>
            <w:textDirection w:val="btLr"/>
          </w:tcPr>
          <w:p w14:paraId="0CF163FD" w14:textId="77777777" w:rsidR="00BD324E" w:rsidRDefault="00BD324E" w:rsidP="00FB5EBF">
            <w:pPr>
              <w:ind w:left="113" w:right="113"/>
              <w:rPr>
                <w:b/>
                <w:szCs w:val="22"/>
              </w:rPr>
            </w:pPr>
          </w:p>
        </w:tc>
        <w:tc>
          <w:tcPr>
            <w:tcW w:w="7853" w:type="dxa"/>
            <w:gridSpan w:val="2"/>
            <w:tcBorders>
              <w:top w:val="double" w:sz="4" w:space="0" w:color="auto"/>
              <w:left w:val="double" w:sz="4" w:space="0" w:color="auto"/>
              <w:bottom w:val="double" w:sz="4" w:space="0" w:color="auto"/>
              <w:right w:val="double" w:sz="4" w:space="0" w:color="auto"/>
            </w:tcBorders>
            <w:hideMark/>
          </w:tcPr>
          <w:p w14:paraId="2395A1E0" w14:textId="77777777" w:rsidR="00BD324E" w:rsidRDefault="00BD324E" w:rsidP="00FB5EBF">
            <w:pPr>
              <w:rPr>
                <w:b/>
                <w:szCs w:val="22"/>
              </w:rPr>
            </w:pPr>
            <w:r>
              <w:rPr>
                <w:b/>
                <w:szCs w:val="22"/>
              </w:rPr>
              <w:t>Vaardigheden (de vaardigheden in een grijs vak zijn eerder behandeld)</w:t>
            </w:r>
          </w:p>
        </w:tc>
        <w:tc>
          <w:tcPr>
            <w:tcW w:w="1331" w:type="dxa"/>
            <w:tcBorders>
              <w:top w:val="double" w:sz="4" w:space="0" w:color="auto"/>
              <w:left w:val="double" w:sz="4" w:space="0" w:color="auto"/>
              <w:bottom w:val="double" w:sz="4" w:space="0" w:color="auto"/>
              <w:right w:val="double" w:sz="4" w:space="0" w:color="auto"/>
            </w:tcBorders>
            <w:hideMark/>
          </w:tcPr>
          <w:p w14:paraId="3E6FD45C" w14:textId="77777777" w:rsidR="00BD324E" w:rsidRDefault="00BD324E" w:rsidP="00FB5EBF">
            <w:pPr>
              <w:rPr>
                <w:b/>
                <w:szCs w:val="22"/>
              </w:rPr>
            </w:pPr>
            <w:r>
              <w:rPr>
                <w:b/>
                <w:szCs w:val="22"/>
              </w:rPr>
              <w:t>Gewicht</w:t>
            </w:r>
          </w:p>
        </w:tc>
      </w:tr>
      <w:tr w:rsidR="00BD324E" w14:paraId="41857CB0" w14:textId="77777777" w:rsidTr="00FB5EBF">
        <w:trPr>
          <w:cantSplit/>
          <w:trHeight w:val="1057"/>
        </w:trPr>
        <w:tc>
          <w:tcPr>
            <w:tcW w:w="392" w:type="dxa"/>
            <w:vMerge w:val="restart"/>
            <w:tcBorders>
              <w:top w:val="double" w:sz="4" w:space="0" w:color="auto"/>
              <w:left w:val="double" w:sz="4" w:space="0" w:color="auto"/>
              <w:bottom w:val="double" w:sz="4" w:space="0" w:color="auto"/>
              <w:right w:val="single" w:sz="4" w:space="0" w:color="000000"/>
            </w:tcBorders>
            <w:shd w:val="clear" w:color="auto" w:fill="FFFFFF" w:themeFill="background1"/>
            <w:textDirection w:val="btLr"/>
            <w:vAlign w:val="center"/>
            <w:hideMark/>
          </w:tcPr>
          <w:p w14:paraId="2747DE09" w14:textId="77777777" w:rsidR="00BD324E" w:rsidRDefault="00BD324E" w:rsidP="00FB5EBF">
            <w:pPr>
              <w:ind w:left="113" w:right="113"/>
              <w:jc w:val="center"/>
              <w:rPr>
                <w:b/>
                <w:szCs w:val="22"/>
              </w:rPr>
            </w:pPr>
            <w:r>
              <w:rPr>
                <w:b/>
                <w:szCs w:val="22"/>
              </w:rPr>
              <w:t>Inhoud</w:t>
            </w:r>
          </w:p>
        </w:tc>
        <w:tc>
          <w:tcPr>
            <w:tcW w:w="2410" w:type="dxa"/>
            <w:tcBorders>
              <w:top w:val="double" w:sz="4" w:space="0" w:color="auto"/>
              <w:left w:val="double" w:sz="4" w:space="0" w:color="auto"/>
              <w:bottom w:val="single" w:sz="4" w:space="0" w:color="000000"/>
              <w:right w:val="single" w:sz="4" w:space="0" w:color="000000"/>
            </w:tcBorders>
            <w:shd w:val="clear" w:color="auto" w:fill="BFBFBF" w:themeFill="background1" w:themeFillShade="BF"/>
            <w:hideMark/>
          </w:tcPr>
          <w:p w14:paraId="0B1DB6F2" w14:textId="77777777" w:rsidR="00BD324E" w:rsidRDefault="00BD324E" w:rsidP="00FB5EBF">
            <w:pPr>
              <w:widowControl w:val="0"/>
              <w:rPr>
                <w:b/>
                <w:szCs w:val="22"/>
              </w:rPr>
            </w:pPr>
            <w:r>
              <w:rPr>
                <w:b/>
                <w:szCs w:val="22"/>
              </w:rPr>
              <w:t>Inhoudelijke samenhang</w:t>
            </w:r>
          </w:p>
        </w:tc>
        <w:tc>
          <w:tcPr>
            <w:tcW w:w="5443" w:type="dxa"/>
            <w:tcBorders>
              <w:top w:val="double" w:sz="4" w:space="0" w:color="auto"/>
              <w:left w:val="single" w:sz="4" w:space="0" w:color="000000"/>
              <w:bottom w:val="single" w:sz="4" w:space="0" w:color="000000"/>
              <w:right w:val="double" w:sz="4" w:space="0" w:color="auto"/>
            </w:tcBorders>
            <w:shd w:val="clear" w:color="auto" w:fill="BFBFBF" w:themeFill="background1" w:themeFillShade="BF"/>
            <w:hideMark/>
          </w:tcPr>
          <w:p w14:paraId="0E0013D2" w14:textId="77777777" w:rsidR="00BD324E" w:rsidRDefault="00BD324E" w:rsidP="00FB5EBF">
            <w:pPr>
              <w:widowControl w:val="0"/>
              <w:rPr>
                <w:szCs w:val="22"/>
              </w:rPr>
            </w:pPr>
            <w:r w:rsidRPr="00B71CF4">
              <w:rPr>
                <w:szCs w:val="22"/>
                <w:highlight w:val="yellow"/>
              </w:rPr>
              <w:t>Alle paragrafen en alinea’s van het literatuurverslag sluiten inhoudelijk logisch op elkaar aan. Belangrijke begrippen worden geïntroduceerd en consequent gebruikt.</w:t>
            </w:r>
          </w:p>
        </w:tc>
        <w:tc>
          <w:tcPr>
            <w:tcW w:w="1331" w:type="dxa"/>
            <w:tcBorders>
              <w:top w:val="double" w:sz="4" w:space="0" w:color="auto"/>
              <w:left w:val="double" w:sz="4" w:space="0" w:color="auto"/>
              <w:bottom w:val="single" w:sz="4" w:space="0" w:color="000000"/>
              <w:right w:val="double" w:sz="4" w:space="0" w:color="auto"/>
            </w:tcBorders>
            <w:shd w:val="clear" w:color="auto" w:fill="BFBFBF" w:themeFill="background1" w:themeFillShade="BF"/>
            <w:hideMark/>
          </w:tcPr>
          <w:p w14:paraId="340511B8" w14:textId="77777777" w:rsidR="00BD324E" w:rsidRDefault="00BD324E" w:rsidP="00FB5EBF">
            <w:pPr>
              <w:widowControl w:val="0"/>
              <w:rPr>
                <w:b/>
                <w:szCs w:val="22"/>
              </w:rPr>
            </w:pPr>
            <w:r>
              <w:rPr>
                <w:b/>
                <w:szCs w:val="22"/>
              </w:rPr>
              <w:t>2</w:t>
            </w:r>
          </w:p>
        </w:tc>
      </w:tr>
      <w:tr w:rsidR="00BD324E" w14:paraId="14429B3A" w14:textId="77777777" w:rsidTr="00BD324E">
        <w:trPr>
          <w:cantSplit/>
          <w:trHeight w:val="976"/>
        </w:trPr>
        <w:tc>
          <w:tcPr>
            <w:tcW w:w="392" w:type="dxa"/>
            <w:vMerge/>
            <w:tcBorders>
              <w:top w:val="double" w:sz="4" w:space="0" w:color="auto"/>
              <w:left w:val="double" w:sz="4" w:space="0" w:color="auto"/>
              <w:bottom w:val="double" w:sz="4" w:space="0" w:color="auto"/>
              <w:right w:val="single" w:sz="4" w:space="0" w:color="000000"/>
            </w:tcBorders>
            <w:vAlign w:val="center"/>
            <w:hideMark/>
          </w:tcPr>
          <w:p w14:paraId="390D324C" w14:textId="77777777" w:rsidR="00BD324E" w:rsidRDefault="00BD324E" w:rsidP="00FB5EBF">
            <w:pPr>
              <w:rPr>
                <w:b/>
                <w:szCs w:val="22"/>
              </w:rPr>
            </w:pPr>
          </w:p>
        </w:tc>
        <w:tc>
          <w:tcPr>
            <w:tcW w:w="2410" w:type="dxa"/>
            <w:tcBorders>
              <w:top w:val="single" w:sz="4" w:space="0" w:color="000000"/>
              <w:left w:val="double" w:sz="4" w:space="0" w:color="auto"/>
              <w:bottom w:val="single" w:sz="4" w:space="0" w:color="000000"/>
              <w:right w:val="single" w:sz="4" w:space="0" w:color="000000"/>
            </w:tcBorders>
            <w:hideMark/>
          </w:tcPr>
          <w:p w14:paraId="4A4F5697" w14:textId="77777777" w:rsidR="00BD324E" w:rsidRDefault="00BD324E" w:rsidP="00FB5EBF">
            <w:pPr>
              <w:widowControl w:val="0"/>
              <w:rPr>
                <w:b/>
                <w:szCs w:val="22"/>
              </w:rPr>
            </w:pPr>
            <w:r>
              <w:rPr>
                <w:b/>
                <w:szCs w:val="22"/>
              </w:rPr>
              <w:t>Inleiding</w:t>
            </w:r>
          </w:p>
        </w:tc>
        <w:tc>
          <w:tcPr>
            <w:tcW w:w="5443" w:type="dxa"/>
            <w:tcBorders>
              <w:top w:val="single" w:sz="4" w:space="0" w:color="000000"/>
              <w:left w:val="single" w:sz="4" w:space="0" w:color="000000"/>
              <w:bottom w:val="single" w:sz="4" w:space="0" w:color="000000"/>
              <w:right w:val="double" w:sz="4" w:space="0" w:color="auto"/>
            </w:tcBorders>
            <w:hideMark/>
          </w:tcPr>
          <w:p w14:paraId="60B9B58C" w14:textId="77777777" w:rsidR="00BD324E" w:rsidRDefault="00BD324E" w:rsidP="00FB5EBF">
            <w:pPr>
              <w:widowControl w:val="0"/>
              <w:rPr>
                <w:color w:val="000000"/>
                <w:szCs w:val="22"/>
              </w:rPr>
            </w:pPr>
            <w:r>
              <w:rPr>
                <w:color w:val="000000"/>
                <w:szCs w:val="22"/>
              </w:rPr>
              <w:t>Alle onderdelen van de inleiding worden op inhoudelijk correcte wijze weergegeven en onderbouwd door middel van literatuur.</w:t>
            </w:r>
          </w:p>
        </w:tc>
        <w:tc>
          <w:tcPr>
            <w:tcW w:w="1331" w:type="dxa"/>
            <w:tcBorders>
              <w:top w:val="single" w:sz="4" w:space="0" w:color="000000"/>
              <w:left w:val="double" w:sz="4" w:space="0" w:color="auto"/>
              <w:bottom w:val="single" w:sz="4" w:space="0" w:color="000000"/>
              <w:right w:val="double" w:sz="4" w:space="0" w:color="auto"/>
            </w:tcBorders>
            <w:hideMark/>
          </w:tcPr>
          <w:p w14:paraId="4F769BC4" w14:textId="77777777" w:rsidR="00BD324E" w:rsidRDefault="00BD324E" w:rsidP="00FB5EBF">
            <w:pPr>
              <w:widowControl w:val="0"/>
              <w:rPr>
                <w:b/>
                <w:szCs w:val="22"/>
              </w:rPr>
            </w:pPr>
            <w:r>
              <w:rPr>
                <w:b/>
                <w:szCs w:val="22"/>
              </w:rPr>
              <w:t>2</w:t>
            </w:r>
          </w:p>
        </w:tc>
      </w:tr>
      <w:tr w:rsidR="00BD324E" w14:paraId="2398E33D" w14:textId="77777777" w:rsidTr="00BD324E">
        <w:trPr>
          <w:cantSplit/>
          <w:trHeight w:val="1246"/>
        </w:trPr>
        <w:tc>
          <w:tcPr>
            <w:tcW w:w="392" w:type="dxa"/>
            <w:vMerge/>
            <w:tcBorders>
              <w:top w:val="double" w:sz="4" w:space="0" w:color="auto"/>
              <w:left w:val="double" w:sz="4" w:space="0" w:color="auto"/>
              <w:bottom w:val="double" w:sz="4" w:space="0" w:color="auto"/>
              <w:right w:val="single" w:sz="4" w:space="0" w:color="000000"/>
            </w:tcBorders>
            <w:vAlign w:val="center"/>
            <w:hideMark/>
          </w:tcPr>
          <w:p w14:paraId="5A49BE8F" w14:textId="77777777" w:rsidR="00BD324E" w:rsidRDefault="00BD324E" w:rsidP="00FB5EBF">
            <w:pPr>
              <w:rPr>
                <w:b/>
                <w:szCs w:val="22"/>
              </w:rPr>
            </w:pPr>
          </w:p>
        </w:tc>
        <w:tc>
          <w:tcPr>
            <w:tcW w:w="2410" w:type="dxa"/>
            <w:tcBorders>
              <w:top w:val="single" w:sz="4" w:space="0" w:color="000000"/>
              <w:left w:val="double" w:sz="4" w:space="0" w:color="auto"/>
              <w:bottom w:val="single" w:sz="4" w:space="0" w:color="000000"/>
              <w:right w:val="single" w:sz="4" w:space="0" w:color="000000"/>
            </w:tcBorders>
            <w:hideMark/>
          </w:tcPr>
          <w:p w14:paraId="5A206085" w14:textId="77777777" w:rsidR="00BD324E" w:rsidRDefault="00BD324E" w:rsidP="00FB5EBF">
            <w:pPr>
              <w:widowControl w:val="0"/>
              <w:rPr>
                <w:b/>
                <w:szCs w:val="22"/>
              </w:rPr>
            </w:pPr>
            <w:r>
              <w:rPr>
                <w:b/>
                <w:szCs w:val="22"/>
              </w:rPr>
              <w:t>Middendeel</w:t>
            </w:r>
          </w:p>
        </w:tc>
        <w:tc>
          <w:tcPr>
            <w:tcW w:w="5443" w:type="dxa"/>
            <w:tcBorders>
              <w:top w:val="single" w:sz="4" w:space="0" w:color="000000"/>
              <w:left w:val="single" w:sz="4" w:space="0" w:color="000000"/>
              <w:bottom w:val="single" w:sz="4" w:space="0" w:color="000000"/>
              <w:right w:val="double" w:sz="4" w:space="0" w:color="auto"/>
            </w:tcBorders>
          </w:tcPr>
          <w:p w14:paraId="2723AFBA" w14:textId="77777777" w:rsidR="00BD324E" w:rsidRPr="00B71CF4" w:rsidRDefault="00BD324E" w:rsidP="00FB5EBF">
            <w:pPr>
              <w:widowControl w:val="0"/>
              <w:rPr>
                <w:color w:val="000000"/>
                <w:szCs w:val="22"/>
                <w:highlight w:val="yellow"/>
              </w:rPr>
            </w:pPr>
            <w:r w:rsidRPr="00B71CF4">
              <w:rPr>
                <w:color w:val="000000"/>
                <w:szCs w:val="22"/>
                <w:highlight w:val="yellow"/>
              </w:rPr>
              <w:t>Alle relevante deelexperimenten zijn besproken. Alle onderdelen van de paragrafen worden op inhoudelijk correcte wijze weergegeven.</w:t>
            </w:r>
          </w:p>
        </w:tc>
        <w:tc>
          <w:tcPr>
            <w:tcW w:w="1331" w:type="dxa"/>
            <w:tcBorders>
              <w:top w:val="single" w:sz="4" w:space="0" w:color="000000"/>
              <w:left w:val="double" w:sz="4" w:space="0" w:color="auto"/>
              <w:bottom w:val="single" w:sz="4" w:space="0" w:color="000000"/>
              <w:right w:val="double" w:sz="4" w:space="0" w:color="auto"/>
            </w:tcBorders>
          </w:tcPr>
          <w:p w14:paraId="1F192B25" w14:textId="77777777" w:rsidR="00BD324E" w:rsidRDefault="00BD324E" w:rsidP="00FB5EBF">
            <w:pPr>
              <w:widowControl w:val="0"/>
              <w:rPr>
                <w:b/>
                <w:szCs w:val="22"/>
              </w:rPr>
            </w:pPr>
            <w:r w:rsidRPr="00B71CF4">
              <w:rPr>
                <w:b/>
                <w:szCs w:val="22"/>
                <w:highlight w:val="yellow"/>
              </w:rPr>
              <w:t>3</w:t>
            </w:r>
          </w:p>
        </w:tc>
      </w:tr>
      <w:tr w:rsidR="00BD324E" w14:paraId="29F089EC" w14:textId="77777777" w:rsidTr="00BD324E">
        <w:trPr>
          <w:cantSplit/>
          <w:trHeight w:val="950"/>
        </w:trPr>
        <w:tc>
          <w:tcPr>
            <w:tcW w:w="392" w:type="dxa"/>
            <w:vMerge/>
            <w:tcBorders>
              <w:top w:val="double" w:sz="4" w:space="0" w:color="auto"/>
              <w:left w:val="double" w:sz="4" w:space="0" w:color="auto"/>
              <w:bottom w:val="double" w:sz="4" w:space="0" w:color="auto"/>
              <w:right w:val="single" w:sz="4" w:space="0" w:color="000000"/>
            </w:tcBorders>
            <w:vAlign w:val="center"/>
            <w:hideMark/>
          </w:tcPr>
          <w:p w14:paraId="3B5268DD" w14:textId="77777777" w:rsidR="00BD324E" w:rsidRDefault="00BD324E" w:rsidP="00FB5EBF">
            <w:pPr>
              <w:rPr>
                <w:b/>
                <w:szCs w:val="22"/>
              </w:rPr>
            </w:pPr>
          </w:p>
        </w:tc>
        <w:tc>
          <w:tcPr>
            <w:tcW w:w="2410" w:type="dxa"/>
            <w:tcBorders>
              <w:top w:val="single" w:sz="4" w:space="0" w:color="000000"/>
              <w:left w:val="double" w:sz="4" w:space="0" w:color="auto"/>
              <w:bottom w:val="double" w:sz="4" w:space="0" w:color="auto"/>
              <w:right w:val="single" w:sz="4" w:space="0" w:color="000000"/>
            </w:tcBorders>
            <w:hideMark/>
          </w:tcPr>
          <w:p w14:paraId="638DA79F" w14:textId="77777777" w:rsidR="00BD324E" w:rsidRDefault="00BD324E" w:rsidP="00FB5EBF">
            <w:pPr>
              <w:widowControl w:val="0"/>
              <w:rPr>
                <w:b/>
                <w:szCs w:val="22"/>
              </w:rPr>
            </w:pPr>
            <w:r>
              <w:rPr>
                <w:b/>
                <w:szCs w:val="22"/>
              </w:rPr>
              <w:t>Discussie</w:t>
            </w:r>
          </w:p>
        </w:tc>
        <w:tc>
          <w:tcPr>
            <w:tcW w:w="5443" w:type="dxa"/>
            <w:tcBorders>
              <w:top w:val="single" w:sz="4" w:space="0" w:color="000000"/>
              <w:left w:val="single" w:sz="4" w:space="0" w:color="000000"/>
              <w:bottom w:val="double" w:sz="4" w:space="0" w:color="auto"/>
              <w:right w:val="double" w:sz="4" w:space="0" w:color="auto"/>
            </w:tcBorders>
            <w:hideMark/>
          </w:tcPr>
          <w:p w14:paraId="4C646796" w14:textId="77777777" w:rsidR="00BD324E" w:rsidRDefault="00BD324E" w:rsidP="00FB5EBF">
            <w:pPr>
              <w:widowControl w:val="0"/>
              <w:rPr>
                <w:color w:val="000000"/>
                <w:szCs w:val="22"/>
              </w:rPr>
            </w:pPr>
            <w:r>
              <w:rPr>
                <w:color w:val="000000"/>
                <w:szCs w:val="22"/>
              </w:rPr>
              <w:t>Alle onderdelen van de discussie worden op inhoudelijk correcte wijze weergegeven en onderbouwd door middel van literatuur.</w:t>
            </w:r>
          </w:p>
        </w:tc>
        <w:tc>
          <w:tcPr>
            <w:tcW w:w="1331" w:type="dxa"/>
            <w:tcBorders>
              <w:top w:val="single" w:sz="4" w:space="0" w:color="000000"/>
              <w:left w:val="double" w:sz="4" w:space="0" w:color="auto"/>
              <w:bottom w:val="double" w:sz="4" w:space="0" w:color="auto"/>
              <w:right w:val="double" w:sz="4" w:space="0" w:color="auto"/>
            </w:tcBorders>
            <w:hideMark/>
          </w:tcPr>
          <w:p w14:paraId="42E6C3C1" w14:textId="77777777" w:rsidR="00BD324E" w:rsidRDefault="00BD324E" w:rsidP="00FB5EBF">
            <w:pPr>
              <w:widowControl w:val="0"/>
              <w:rPr>
                <w:b/>
                <w:szCs w:val="22"/>
              </w:rPr>
            </w:pPr>
            <w:r>
              <w:rPr>
                <w:b/>
                <w:szCs w:val="22"/>
              </w:rPr>
              <w:t>2</w:t>
            </w:r>
          </w:p>
        </w:tc>
      </w:tr>
      <w:tr w:rsidR="00BD324E" w14:paraId="30C210A9" w14:textId="77777777" w:rsidTr="00BD324E">
        <w:trPr>
          <w:cantSplit/>
          <w:trHeight w:val="952"/>
        </w:trPr>
        <w:tc>
          <w:tcPr>
            <w:tcW w:w="392" w:type="dxa"/>
            <w:vMerge w:val="restart"/>
            <w:tcBorders>
              <w:top w:val="double" w:sz="4" w:space="0" w:color="auto"/>
              <w:left w:val="double" w:sz="4" w:space="0" w:color="auto"/>
              <w:bottom w:val="single" w:sz="4" w:space="0" w:color="000000"/>
              <w:right w:val="single" w:sz="4" w:space="0" w:color="000000"/>
            </w:tcBorders>
            <w:shd w:val="clear" w:color="auto" w:fill="FFFFFF" w:themeFill="background1"/>
            <w:textDirection w:val="btLr"/>
            <w:vAlign w:val="center"/>
            <w:hideMark/>
          </w:tcPr>
          <w:p w14:paraId="0BE7EF2A" w14:textId="77777777" w:rsidR="00BD324E" w:rsidRDefault="00BD324E" w:rsidP="00FB5EBF">
            <w:pPr>
              <w:ind w:left="113" w:right="113"/>
              <w:jc w:val="center"/>
              <w:rPr>
                <w:b/>
                <w:szCs w:val="22"/>
              </w:rPr>
            </w:pPr>
            <w:r>
              <w:rPr>
                <w:b/>
                <w:szCs w:val="22"/>
              </w:rPr>
              <w:t>Structuur</w:t>
            </w:r>
          </w:p>
        </w:tc>
        <w:tc>
          <w:tcPr>
            <w:tcW w:w="2410" w:type="dxa"/>
            <w:tcBorders>
              <w:top w:val="double" w:sz="4" w:space="0" w:color="auto"/>
              <w:left w:val="double" w:sz="4" w:space="0" w:color="auto"/>
              <w:bottom w:val="single" w:sz="4" w:space="0" w:color="000000"/>
              <w:right w:val="single" w:sz="4" w:space="0" w:color="000000"/>
            </w:tcBorders>
            <w:hideMark/>
          </w:tcPr>
          <w:p w14:paraId="5BCEDC39" w14:textId="77777777" w:rsidR="00BD324E" w:rsidRDefault="00BD324E" w:rsidP="00FB5EBF">
            <w:pPr>
              <w:rPr>
                <w:b/>
                <w:szCs w:val="22"/>
              </w:rPr>
            </w:pPr>
            <w:r>
              <w:rPr>
                <w:b/>
                <w:szCs w:val="22"/>
              </w:rPr>
              <w:t>Inleiding</w:t>
            </w:r>
          </w:p>
        </w:tc>
        <w:tc>
          <w:tcPr>
            <w:tcW w:w="5443" w:type="dxa"/>
            <w:tcBorders>
              <w:top w:val="double" w:sz="4" w:space="0" w:color="auto"/>
              <w:left w:val="single" w:sz="4" w:space="0" w:color="000000"/>
              <w:bottom w:val="single" w:sz="4" w:space="0" w:color="000000"/>
              <w:right w:val="double" w:sz="4" w:space="0" w:color="auto"/>
            </w:tcBorders>
            <w:hideMark/>
          </w:tcPr>
          <w:p w14:paraId="29E358DD" w14:textId="77777777" w:rsidR="00BD324E" w:rsidRDefault="00BD324E" w:rsidP="00FB5EBF">
            <w:pPr>
              <w:rPr>
                <w:color w:val="000000"/>
                <w:szCs w:val="22"/>
              </w:rPr>
            </w:pPr>
            <w:r>
              <w:rPr>
                <w:color w:val="000000"/>
                <w:szCs w:val="22"/>
              </w:rPr>
              <w:t xml:space="preserve">Alle onderdelen van de inleiding zijn aanwezig en zijn </w:t>
            </w:r>
            <w:r w:rsidRPr="002D1B6D">
              <w:rPr>
                <w:color w:val="000000"/>
                <w:szCs w:val="22"/>
                <w:highlight w:val="yellow"/>
              </w:rPr>
              <w:t xml:space="preserve">op </w:t>
            </w:r>
            <w:r>
              <w:rPr>
                <w:color w:val="000000"/>
                <w:szCs w:val="22"/>
                <w:highlight w:val="yellow"/>
              </w:rPr>
              <w:t>logische</w:t>
            </w:r>
            <w:r w:rsidRPr="002D1B6D">
              <w:rPr>
                <w:color w:val="000000"/>
                <w:szCs w:val="22"/>
                <w:highlight w:val="yellow"/>
              </w:rPr>
              <w:t xml:space="preserve"> wijze</w:t>
            </w:r>
            <w:r>
              <w:rPr>
                <w:color w:val="000000"/>
                <w:szCs w:val="22"/>
              </w:rPr>
              <w:t xml:space="preserve"> in juiste volgorde en in trechtervorm verwerkt. </w:t>
            </w:r>
          </w:p>
        </w:tc>
        <w:tc>
          <w:tcPr>
            <w:tcW w:w="1331" w:type="dxa"/>
            <w:tcBorders>
              <w:top w:val="double" w:sz="4" w:space="0" w:color="auto"/>
              <w:left w:val="double" w:sz="4" w:space="0" w:color="auto"/>
              <w:bottom w:val="single" w:sz="4" w:space="0" w:color="000000"/>
              <w:right w:val="double" w:sz="4" w:space="0" w:color="auto"/>
            </w:tcBorders>
            <w:hideMark/>
          </w:tcPr>
          <w:p w14:paraId="11D4EE2E" w14:textId="77777777" w:rsidR="00BD324E" w:rsidRDefault="00BD324E" w:rsidP="00FB5EBF">
            <w:pPr>
              <w:rPr>
                <w:b/>
                <w:szCs w:val="22"/>
              </w:rPr>
            </w:pPr>
            <w:r>
              <w:rPr>
                <w:b/>
                <w:szCs w:val="22"/>
              </w:rPr>
              <w:t>3</w:t>
            </w:r>
          </w:p>
        </w:tc>
      </w:tr>
      <w:tr w:rsidR="00BD324E" w14:paraId="2D3CF75B" w14:textId="77777777" w:rsidTr="00FB5EBF">
        <w:trPr>
          <w:cantSplit/>
          <w:trHeight w:val="995"/>
        </w:trPr>
        <w:tc>
          <w:tcPr>
            <w:tcW w:w="392" w:type="dxa"/>
            <w:vMerge/>
            <w:tcBorders>
              <w:top w:val="double" w:sz="4" w:space="0" w:color="auto"/>
              <w:left w:val="double" w:sz="4" w:space="0" w:color="auto"/>
              <w:bottom w:val="single" w:sz="4" w:space="0" w:color="000000"/>
              <w:right w:val="single" w:sz="4" w:space="0" w:color="000000"/>
            </w:tcBorders>
            <w:vAlign w:val="center"/>
            <w:hideMark/>
          </w:tcPr>
          <w:p w14:paraId="2005F4D8" w14:textId="77777777" w:rsidR="00BD324E" w:rsidRDefault="00BD324E" w:rsidP="00FB5EBF">
            <w:pPr>
              <w:rPr>
                <w:b/>
                <w:szCs w:val="22"/>
              </w:rPr>
            </w:pPr>
          </w:p>
        </w:tc>
        <w:tc>
          <w:tcPr>
            <w:tcW w:w="2410" w:type="dxa"/>
            <w:tcBorders>
              <w:top w:val="single" w:sz="4" w:space="0" w:color="000000"/>
              <w:left w:val="double" w:sz="4" w:space="0" w:color="auto"/>
              <w:bottom w:val="single" w:sz="4" w:space="0" w:color="000000"/>
              <w:right w:val="single" w:sz="4" w:space="0" w:color="000000"/>
            </w:tcBorders>
            <w:hideMark/>
          </w:tcPr>
          <w:p w14:paraId="1F8EC6F5" w14:textId="77777777" w:rsidR="00BD324E" w:rsidRDefault="00BD324E" w:rsidP="00FB5EBF">
            <w:pPr>
              <w:rPr>
                <w:b/>
                <w:szCs w:val="22"/>
              </w:rPr>
            </w:pPr>
            <w:r>
              <w:rPr>
                <w:b/>
                <w:szCs w:val="22"/>
              </w:rPr>
              <w:t>Middendeel</w:t>
            </w:r>
          </w:p>
        </w:tc>
        <w:tc>
          <w:tcPr>
            <w:tcW w:w="5443" w:type="dxa"/>
            <w:tcBorders>
              <w:top w:val="single" w:sz="4" w:space="0" w:color="000000"/>
              <w:left w:val="single" w:sz="4" w:space="0" w:color="000000"/>
              <w:bottom w:val="single" w:sz="4" w:space="0" w:color="000000"/>
              <w:right w:val="double" w:sz="4" w:space="0" w:color="auto"/>
            </w:tcBorders>
            <w:hideMark/>
          </w:tcPr>
          <w:p w14:paraId="4373593B" w14:textId="77777777" w:rsidR="00BD324E" w:rsidRDefault="00BD324E" w:rsidP="00FB5EBF">
            <w:pPr>
              <w:rPr>
                <w:color w:val="000000"/>
                <w:szCs w:val="22"/>
              </w:rPr>
            </w:pPr>
            <w:r>
              <w:rPr>
                <w:color w:val="000000"/>
                <w:szCs w:val="22"/>
              </w:rPr>
              <w:t xml:space="preserve">Er is een logische indeling gemaakt in paragrafen en alle onderdelen zijn </w:t>
            </w:r>
            <w:r w:rsidRPr="002D1B6D">
              <w:rPr>
                <w:color w:val="000000"/>
                <w:szCs w:val="22"/>
                <w:highlight w:val="yellow"/>
              </w:rPr>
              <w:t xml:space="preserve"> op gestructureerde wijze</w:t>
            </w:r>
            <w:r>
              <w:rPr>
                <w:color w:val="000000"/>
                <w:szCs w:val="22"/>
              </w:rPr>
              <w:t xml:space="preserve"> uitgewerkt binnen de paragrafen. </w:t>
            </w:r>
          </w:p>
        </w:tc>
        <w:tc>
          <w:tcPr>
            <w:tcW w:w="1331" w:type="dxa"/>
            <w:tcBorders>
              <w:top w:val="single" w:sz="4" w:space="0" w:color="000000"/>
              <w:left w:val="double" w:sz="4" w:space="0" w:color="auto"/>
              <w:bottom w:val="single" w:sz="4" w:space="0" w:color="000000"/>
              <w:right w:val="double" w:sz="4" w:space="0" w:color="auto"/>
            </w:tcBorders>
            <w:hideMark/>
          </w:tcPr>
          <w:p w14:paraId="3B32F710" w14:textId="77777777" w:rsidR="00BD324E" w:rsidRDefault="00BD324E" w:rsidP="00FB5EBF">
            <w:pPr>
              <w:rPr>
                <w:b/>
                <w:szCs w:val="22"/>
              </w:rPr>
            </w:pPr>
            <w:r w:rsidRPr="00B71CF4">
              <w:rPr>
                <w:b/>
                <w:szCs w:val="22"/>
                <w:highlight w:val="yellow"/>
              </w:rPr>
              <w:t>2</w:t>
            </w:r>
          </w:p>
        </w:tc>
      </w:tr>
      <w:tr w:rsidR="00BD324E" w14:paraId="59D125BA" w14:textId="77777777" w:rsidTr="00FB5EBF">
        <w:trPr>
          <w:cantSplit/>
          <w:trHeight w:val="1078"/>
        </w:trPr>
        <w:tc>
          <w:tcPr>
            <w:tcW w:w="392" w:type="dxa"/>
            <w:vMerge/>
            <w:tcBorders>
              <w:top w:val="double" w:sz="4" w:space="0" w:color="auto"/>
              <w:left w:val="double" w:sz="4" w:space="0" w:color="auto"/>
              <w:bottom w:val="single" w:sz="4" w:space="0" w:color="000000"/>
              <w:right w:val="single" w:sz="4" w:space="0" w:color="000000"/>
            </w:tcBorders>
            <w:vAlign w:val="center"/>
            <w:hideMark/>
          </w:tcPr>
          <w:p w14:paraId="16EA3008" w14:textId="77777777" w:rsidR="00BD324E" w:rsidRDefault="00BD324E" w:rsidP="00FB5EBF">
            <w:pPr>
              <w:rPr>
                <w:b/>
                <w:szCs w:val="22"/>
              </w:rPr>
            </w:pPr>
          </w:p>
        </w:tc>
        <w:tc>
          <w:tcPr>
            <w:tcW w:w="2410" w:type="dxa"/>
            <w:tcBorders>
              <w:top w:val="single" w:sz="4" w:space="0" w:color="000000"/>
              <w:left w:val="double" w:sz="4" w:space="0" w:color="auto"/>
              <w:bottom w:val="single" w:sz="4" w:space="0" w:color="000000"/>
              <w:right w:val="single" w:sz="4" w:space="0" w:color="000000"/>
            </w:tcBorders>
            <w:hideMark/>
          </w:tcPr>
          <w:p w14:paraId="314171CF" w14:textId="77777777" w:rsidR="00BD324E" w:rsidRDefault="00BD324E" w:rsidP="00FB5EBF">
            <w:pPr>
              <w:rPr>
                <w:b/>
                <w:szCs w:val="22"/>
              </w:rPr>
            </w:pPr>
            <w:r>
              <w:rPr>
                <w:b/>
                <w:szCs w:val="22"/>
              </w:rPr>
              <w:t>Discussie</w:t>
            </w:r>
          </w:p>
        </w:tc>
        <w:tc>
          <w:tcPr>
            <w:tcW w:w="5443" w:type="dxa"/>
            <w:tcBorders>
              <w:top w:val="single" w:sz="4" w:space="0" w:color="000000"/>
              <w:left w:val="single" w:sz="4" w:space="0" w:color="000000"/>
              <w:bottom w:val="single" w:sz="4" w:space="0" w:color="000000"/>
              <w:right w:val="double" w:sz="4" w:space="0" w:color="auto"/>
            </w:tcBorders>
            <w:hideMark/>
          </w:tcPr>
          <w:p w14:paraId="36B7CFF1" w14:textId="77777777" w:rsidR="00BD324E" w:rsidRDefault="00BD324E" w:rsidP="00FB5EBF">
            <w:pPr>
              <w:rPr>
                <w:color w:val="000000"/>
                <w:szCs w:val="22"/>
              </w:rPr>
            </w:pPr>
            <w:r>
              <w:rPr>
                <w:color w:val="000000"/>
                <w:szCs w:val="22"/>
              </w:rPr>
              <w:t xml:space="preserve">Alle onderdelen van de discussie zijn aanwezig en zijn </w:t>
            </w:r>
            <w:r w:rsidRPr="002D1B6D">
              <w:rPr>
                <w:color w:val="000000"/>
                <w:szCs w:val="22"/>
                <w:highlight w:val="yellow"/>
              </w:rPr>
              <w:t xml:space="preserve"> op gestructureerde wijze</w:t>
            </w:r>
            <w:r>
              <w:rPr>
                <w:color w:val="000000"/>
                <w:szCs w:val="22"/>
              </w:rPr>
              <w:t xml:space="preserve"> in de juiste volgorde en in omgekeerde trechtervorm verwerkt.</w:t>
            </w:r>
          </w:p>
        </w:tc>
        <w:tc>
          <w:tcPr>
            <w:tcW w:w="1331" w:type="dxa"/>
            <w:tcBorders>
              <w:top w:val="single" w:sz="4" w:space="0" w:color="000000"/>
              <w:left w:val="double" w:sz="4" w:space="0" w:color="auto"/>
              <w:bottom w:val="single" w:sz="4" w:space="0" w:color="000000"/>
              <w:right w:val="double" w:sz="4" w:space="0" w:color="auto"/>
            </w:tcBorders>
            <w:hideMark/>
          </w:tcPr>
          <w:p w14:paraId="44B11DCD" w14:textId="77777777" w:rsidR="00BD324E" w:rsidRDefault="00BD324E" w:rsidP="00FB5EBF">
            <w:pPr>
              <w:rPr>
                <w:b/>
                <w:szCs w:val="22"/>
              </w:rPr>
            </w:pPr>
            <w:r>
              <w:rPr>
                <w:b/>
                <w:szCs w:val="22"/>
              </w:rPr>
              <w:t>3</w:t>
            </w:r>
          </w:p>
        </w:tc>
      </w:tr>
      <w:tr w:rsidR="00BD324E" w14:paraId="43E75211" w14:textId="77777777" w:rsidTr="00FB5EBF">
        <w:trPr>
          <w:cantSplit/>
          <w:trHeight w:val="991"/>
        </w:trPr>
        <w:tc>
          <w:tcPr>
            <w:tcW w:w="392" w:type="dxa"/>
            <w:vMerge w:val="restart"/>
            <w:tcBorders>
              <w:top w:val="double" w:sz="4" w:space="0" w:color="auto"/>
              <w:left w:val="double" w:sz="4" w:space="0" w:color="auto"/>
              <w:bottom w:val="double" w:sz="4" w:space="0" w:color="auto"/>
              <w:right w:val="single" w:sz="4" w:space="0" w:color="000000"/>
            </w:tcBorders>
            <w:shd w:val="clear" w:color="auto" w:fill="FFFFFF" w:themeFill="background1"/>
            <w:textDirection w:val="btLr"/>
            <w:vAlign w:val="center"/>
            <w:hideMark/>
          </w:tcPr>
          <w:p w14:paraId="47A12BC2" w14:textId="77777777" w:rsidR="00BD324E" w:rsidRDefault="00BD324E" w:rsidP="00FB5EBF">
            <w:pPr>
              <w:ind w:left="113" w:right="113"/>
              <w:jc w:val="center"/>
              <w:rPr>
                <w:b/>
                <w:szCs w:val="22"/>
              </w:rPr>
            </w:pPr>
            <w:r>
              <w:rPr>
                <w:b/>
                <w:szCs w:val="22"/>
              </w:rPr>
              <w:t>Vorm</w:t>
            </w:r>
          </w:p>
        </w:tc>
        <w:tc>
          <w:tcPr>
            <w:tcW w:w="2410" w:type="dxa"/>
            <w:tcBorders>
              <w:top w:val="double" w:sz="4" w:space="0" w:color="auto"/>
              <w:left w:val="double" w:sz="4" w:space="0" w:color="auto"/>
              <w:bottom w:val="single" w:sz="4" w:space="0" w:color="000000"/>
              <w:right w:val="single" w:sz="4" w:space="0" w:color="000000"/>
            </w:tcBorders>
            <w:shd w:val="clear" w:color="auto" w:fill="BFBFBF" w:themeFill="background1" w:themeFillShade="BF"/>
            <w:hideMark/>
          </w:tcPr>
          <w:p w14:paraId="0D188D7E" w14:textId="77777777" w:rsidR="00BD324E" w:rsidRDefault="00BD324E" w:rsidP="00FB5EBF">
            <w:pPr>
              <w:rPr>
                <w:b/>
                <w:szCs w:val="22"/>
              </w:rPr>
            </w:pPr>
            <w:r>
              <w:rPr>
                <w:b/>
                <w:szCs w:val="22"/>
              </w:rPr>
              <w:t>Wetenschappelijk taalgebruik</w:t>
            </w:r>
          </w:p>
        </w:tc>
        <w:tc>
          <w:tcPr>
            <w:tcW w:w="5443" w:type="dxa"/>
            <w:tcBorders>
              <w:top w:val="double" w:sz="4" w:space="0" w:color="auto"/>
              <w:left w:val="single" w:sz="4" w:space="0" w:color="000000"/>
              <w:bottom w:val="single" w:sz="4" w:space="0" w:color="000000"/>
              <w:right w:val="double" w:sz="4" w:space="0" w:color="auto"/>
            </w:tcBorders>
            <w:shd w:val="clear" w:color="auto" w:fill="BFBFBF" w:themeFill="background1" w:themeFillShade="BF"/>
            <w:hideMark/>
          </w:tcPr>
          <w:p w14:paraId="01F8D05A" w14:textId="77777777" w:rsidR="00BD324E" w:rsidRDefault="00BD324E" w:rsidP="00FB5EBF">
            <w:pPr>
              <w:rPr>
                <w:b/>
                <w:color w:val="000000"/>
                <w:szCs w:val="22"/>
              </w:rPr>
            </w:pPr>
            <w:r>
              <w:rPr>
                <w:color w:val="000000"/>
                <w:szCs w:val="22"/>
              </w:rPr>
              <w:t>Het literatuurverslag is in correct Nederlands geschreven en er is wetenschappelijk taalgebruik gehanteerd.</w:t>
            </w:r>
          </w:p>
        </w:tc>
        <w:tc>
          <w:tcPr>
            <w:tcW w:w="1331" w:type="dxa"/>
            <w:tcBorders>
              <w:top w:val="double" w:sz="4" w:space="0" w:color="auto"/>
              <w:left w:val="double" w:sz="4" w:space="0" w:color="auto"/>
              <w:bottom w:val="single" w:sz="4" w:space="0" w:color="000000"/>
              <w:right w:val="double" w:sz="4" w:space="0" w:color="auto"/>
            </w:tcBorders>
            <w:shd w:val="clear" w:color="auto" w:fill="BFBFBF" w:themeFill="background1" w:themeFillShade="BF"/>
            <w:hideMark/>
          </w:tcPr>
          <w:p w14:paraId="415DBB4D" w14:textId="77777777" w:rsidR="00BD324E" w:rsidRDefault="00BD324E" w:rsidP="00FB5EBF">
            <w:pPr>
              <w:rPr>
                <w:b/>
                <w:szCs w:val="22"/>
              </w:rPr>
            </w:pPr>
            <w:r>
              <w:rPr>
                <w:b/>
                <w:szCs w:val="22"/>
              </w:rPr>
              <w:t>3</w:t>
            </w:r>
          </w:p>
        </w:tc>
      </w:tr>
      <w:tr w:rsidR="00BD324E" w14:paraId="539AE8A8" w14:textId="77777777" w:rsidTr="00FB5EBF">
        <w:trPr>
          <w:cantSplit/>
          <w:trHeight w:val="996"/>
        </w:trPr>
        <w:tc>
          <w:tcPr>
            <w:tcW w:w="392" w:type="dxa"/>
            <w:vMerge/>
            <w:tcBorders>
              <w:top w:val="double" w:sz="4" w:space="0" w:color="auto"/>
              <w:left w:val="double" w:sz="4" w:space="0" w:color="auto"/>
              <w:bottom w:val="double" w:sz="4" w:space="0" w:color="auto"/>
              <w:right w:val="single" w:sz="4" w:space="0" w:color="000000"/>
            </w:tcBorders>
            <w:vAlign w:val="center"/>
            <w:hideMark/>
          </w:tcPr>
          <w:p w14:paraId="1C441F88" w14:textId="77777777" w:rsidR="00BD324E" w:rsidRDefault="00BD324E" w:rsidP="00FB5EBF">
            <w:pPr>
              <w:rPr>
                <w:b/>
                <w:szCs w:val="22"/>
              </w:rPr>
            </w:pPr>
          </w:p>
        </w:tc>
        <w:tc>
          <w:tcPr>
            <w:tcW w:w="2410" w:type="dxa"/>
            <w:tcBorders>
              <w:top w:val="single" w:sz="4" w:space="0" w:color="000000"/>
              <w:left w:val="double" w:sz="4" w:space="0" w:color="auto"/>
              <w:bottom w:val="double" w:sz="4" w:space="0" w:color="auto"/>
              <w:right w:val="single" w:sz="4" w:space="0" w:color="000000"/>
            </w:tcBorders>
            <w:shd w:val="clear" w:color="auto" w:fill="BFBFBF" w:themeFill="background1" w:themeFillShade="BF"/>
            <w:hideMark/>
          </w:tcPr>
          <w:p w14:paraId="7C7A7793" w14:textId="77777777" w:rsidR="00BD324E" w:rsidRDefault="00BD324E" w:rsidP="00FB5EBF">
            <w:pPr>
              <w:rPr>
                <w:b/>
                <w:szCs w:val="22"/>
              </w:rPr>
            </w:pPr>
            <w:r>
              <w:rPr>
                <w:b/>
                <w:szCs w:val="22"/>
              </w:rPr>
              <w:t>Tekstuele samenhang</w:t>
            </w:r>
          </w:p>
        </w:tc>
        <w:tc>
          <w:tcPr>
            <w:tcW w:w="5443" w:type="dxa"/>
            <w:tcBorders>
              <w:top w:val="single" w:sz="4" w:space="0" w:color="000000"/>
              <w:left w:val="single" w:sz="4" w:space="0" w:color="000000"/>
              <w:bottom w:val="double" w:sz="4" w:space="0" w:color="auto"/>
              <w:right w:val="double" w:sz="4" w:space="0" w:color="auto"/>
            </w:tcBorders>
            <w:shd w:val="clear" w:color="auto" w:fill="BFBFBF" w:themeFill="background1" w:themeFillShade="BF"/>
            <w:hideMark/>
          </w:tcPr>
          <w:p w14:paraId="014A3413" w14:textId="77777777" w:rsidR="00BD324E" w:rsidRDefault="00BD324E" w:rsidP="00FB5EBF">
            <w:pPr>
              <w:rPr>
                <w:szCs w:val="22"/>
              </w:rPr>
            </w:pPr>
            <w:r>
              <w:rPr>
                <w:szCs w:val="22"/>
              </w:rPr>
              <w:t>Het literatuurverslag is tekstueel samenhangend en goed tekstueel geïntegreerd.</w:t>
            </w:r>
          </w:p>
        </w:tc>
        <w:tc>
          <w:tcPr>
            <w:tcW w:w="1331" w:type="dxa"/>
            <w:tcBorders>
              <w:top w:val="single" w:sz="4" w:space="0" w:color="000000"/>
              <w:left w:val="double" w:sz="4" w:space="0" w:color="auto"/>
              <w:bottom w:val="double" w:sz="4" w:space="0" w:color="auto"/>
              <w:right w:val="double" w:sz="4" w:space="0" w:color="auto"/>
            </w:tcBorders>
            <w:shd w:val="clear" w:color="auto" w:fill="BFBFBF" w:themeFill="background1" w:themeFillShade="BF"/>
            <w:hideMark/>
          </w:tcPr>
          <w:p w14:paraId="16BC5F26" w14:textId="77777777" w:rsidR="00BD324E" w:rsidRDefault="00BD324E" w:rsidP="00FB5EBF">
            <w:pPr>
              <w:rPr>
                <w:b/>
                <w:szCs w:val="22"/>
              </w:rPr>
            </w:pPr>
            <w:r>
              <w:rPr>
                <w:b/>
                <w:szCs w:val="22"/>
              </w:rPr>
              <w:t>2</w:t>
            </w:r>
          </w:p>
        </w:tc>
      </w:tr>
      <w:tr w:rsidR="00BD324E" w14:paraId="59B06AB5" w14:textId="77777777" w:rsidTr="00FB5EBF">
        <w:trPr>
          <w:cantSplit/>
          <w:trHeight w:val="1388"/>
        </w:trPr>
        <w:tc>
          <w:tcPr>
            <w:tcW w:w="392" w:type="dxa"/>
            <w:tcBorders>
              <w:top w:val="double" w:sz="4" w:space="0" w:color="auto"/>
              <w:left w:val="double" w:sz="4" w:space="0" w:color="auto"/>
              <w:bottom w:val="double" w:sz="4" w:space="0" w:color="auto"/>
              <w:right w:val="single" w:sz="4" w:space="0" w:color="000000"/>
            </w:tcBorders>
            <w:textDirection w:val="btLr"/>
            <w:vAlign w:val="center"/>
            <w:hideMark/>
          </w:tcPr>
          <w:p w14:paraId="78DC4EAE" w14:textId="77777777" w:rsidR="00BD324E" w:rsidRDefault="00BD324E" w:rsidP="00FB5EBF">
            <w:pPr>
              <w:ind w:left="113" w:right="113"/>
              <w:jc w:val="center"/>
              <w:rPr>
                <w:b/>
                <w:szCs w:val="22"/>
              </w:rPr>
            </w:pPr>
            <w:r>
              <w:rPr>
                <w:b/>
                <w:szCs w:val="22"/>
              </w:rPr>
              <w:t>Formeel</w:t>
            </w:r>
          </w:p>
        </w:tc>
        <w:tc>
          <w:tcPr>
            <w:tcW w:w="2410" w:type="dxa"/>
            <w:tcBorders>
              <w:top w:val="double" w:sz="4" w:space="0" w:color="auto"/>
              <w:left w:val="double" w:sz="4" w:space="0" w:color="auto"/>
              <w:bottom w:val="double" w:sz="4" w:space="0" w:color="auto"/>
              <w:right w:val="single" w:sz="4" w:space="0" w:color="000000"/>
            </w:tcBorders>
            <w:hideMark/>
          </w:tcPr>
          <w:p w14:paraId="36C3630C" w14:textId="77777777" w:rsidR="00BD324E" w:rsidRDefault="00BD324E" w:rsidP="00FB5EBF">
            <w:pPr>
              <w:rPr>
                <w:b/>
                <w:szCs w:val="22"/>
              </w:rPr>
            </w:pPr>
            <w:r>
              <w:rPr>
                <w:b/>
                <w:szCs w:val="22"/>
              </w:rPr>
              <w:t>Refereren</w:t>
            </w:r>
          </w:p>
        </w:tc>
        <w:tc>
          <w:tcPr>
            <w:tcW w:w="5443" w:type="dxa"/>
            <w:tcBorders>
              <w:top w:val="double" w:sz="4" w:space="0" w:color="auto"/>
              <w:left w:val="single" w:sz="4" w:space="0" w:color="000000"/>
              <w:bottom w:val="double" w:sz="4" w:space="0" w:color="auto"/>
              <w:right w:val="double" w:sz="4" w:space="0" w:color="auto"/>
            </w:tcBorders>
          </w:tcPr>
          <w:p w14:paraId="00BB842D" w14:textId="77777777" w:rsidR="00BD324E" w:rsidRDefault="00BD324E" w:rsidP="00FB5EBF">
            <w:pPr>
              <w:rPr>
                <w:color w:val="000000"/>
                <w:szCs w:val="22"/>
              </w:rPr>
            </w:pPr>
            <w:r>
              <w:rPr>
                <w:color w:val="000000"/>
                <w:szCs w:val="22"/>
              </w:rPr>
              <w:t>Er wordt op de juiste plaats in de tekst naar de literatuur gerefereerd.</w:t>
            </w:r>
          </w:p>
          <w:p w14:paraId="34CA6A65" w14:textId="77777777" w:rsidR="00BD324E" w:rsidRDefault="00BD324E" w:rsidP="00FB5EBF">
            <w:pPr>
              <w:rPr>
                <w:color w:val="000000"/>
                <w:szCs w:val="22"/>
              </w:rPr>
            </w:pPr>
          </w:p>
          <w:p w14:paraId="54607970" w14:textId="77777777" w:rsidR="00BD324E" w:rsidRDefault="00BD324E" w:rsidP="00FB5EBF">
            <w:pPr>
              <w:rPr>
                <w:color w:val="000000"/>
                <w:szCs w:val="22"/>
              </w:rPr>
            </w:pPr>
            <w:r>
              <w:rPr>
                <w:color w:val="000000"/>
                <w:szCs w:val="22"/>
              </w:rPr>
              <w:t>De referenties in de tekst en de literatuurlijst zijn volgens de handleiding opgemaakt.</w:t>
            </w:r>
          </w:p>
        </w:tc>
        <w:tc>
          <w:tcPr>
            <w:tcW w:w="1331" w:type="dxa"/>
            <w:tcBorders>
              <w:top w:val="double" w:sz="4" w:space="0" w:color="auto"/>
              <w:left w:val="double" w:sz="4" w:space="0" w:color="auto"/>
              <w:bottom w:val="double" w:sz="4" w:space="0" w:color="auto"/>
              <w:right w:val="double" w:sz="4" w:space="0" w:color="auto"/>
            </w:tcBorders>
          </w:tcPr>
          <w:p w14:paraId="141F8D60" w14:textId="77777777" w:rsidR="00BD324E" w:rsidRDefault="00BD324E" w:rsidP="00FB5EBF">
            <w:pPr>
              <w:rPr>
                <w:b/>
                <w:szCs w:val="22"/>
              </w:rPr>
            </w:pPr>
            <w:r>
              <w:rPr>
                <w:b/>
                <w:szCs w:val="22"/>
              </w:rPr>
              <w:t>1</w:t>
            </w:r>
          </w:p>
          <w:p w14:paraId="197F6947" w14:textId="77777777" w:rsidR="00BD324E" w:rsidRDefault="00BD324E" w:rsidP="00FB5EBF">
            <w:pPr>
              <w:rPr>
                <w:b/>
                <w:szCs w:val="22"/>
              </w:rPr>
            </w:pPr>
          </w:p>
          <w:p w14:paraId="47F6949F" w14:textId="77777777" w:rsidR="00BD324E" w:rsidRDefault="00BD324E" w:rsidP="00FB5EBF">
            <w:pPr>
              <w:rPr>
                <w:b/>
                <w:szCs w:val="22"/>
              </w:rPr>
            </w:pPr>
            <w:r>
              <w:rPr>
                <w:b/>
                <w:szCs w:val="22"/>
              </w:rPr>
              <w:t>1</w:t>
            </w:r>
          </w:p>
        </w:tc>
      </w:tr>
    </w:tbl>
    <w:p w14:paraId="5FFA7E83" w14:textId="77777777" w:rsidR="00BD324E" w:rsidRDefault="00BD324E" w:rsidP="00BD324E">
      <w:pPr>
        <w:pStyle w:val="normaal"/>
        <w:rPr>
          <w:highlight w:val="yellow"/>
        </w:rPr>
      </w:pPr>
    </w:p>
    <w:p w14:paraId="27D462D9" w14:textId="77777777" w:rsidR="00BD324E" w:rsidRDefault="00BD324E" w:rsidP="00BD324E">
      <w:pPr>
        <w:pStyle w:val="normaal"/>
        <w:rPr>
          <w:highlight w:val="yellow"/>
        </w:rPr>
      </w:pPr>
    </w:p>
    <w:p w14:paraId="19E0F0F5" w14:textId="77777777" w:rsidR="00BD324E" w:rsidRDefault="00BD324E" w:rsidP="00BD324E">
      <w:pPr>
        <w:pStyle w:val="normaal"/>
        <w:rPr>
          <w:highlight w:val="yellow"/>
        </w:rPr>
      </w:pPr>
    </w:p>
    <w:p w14:paraId="65889D7A" w14:textId="77777777" w:rsidR="00BD324E" w:rsidRDefault="00BD324E" w:rsidP="00BD324E">
      <w:pPr>
        <w:pStyle w:val="normaal"/>
      </w:pPr>
    </w:p>
    <w:p w14:paraId="450E2D2F" w14:textId="77777777" w:rsidR="00BD324E" w:rsidRDefault="00BD324E" w:rsidP="00BD324E">
      <w:pPr>
        <w:pStyle w:val="normaal"/>
      </w:pPr>
    </w:p>
    <w:p w14:paraId="4BE83213" w14:textId="77777777" w:rsidR="00BD324E" w:rsidRDefault="00BD324E" w:rsidP="00BD324E">
      <w:pPr>
        <w:pStyle w:val="normaal"/>
      </w:pPr>
    </w:p>
    <w:p w14:paraId="25D5E01D" w14:textId="77777777" w:rsidR="00BD324E" w:rsidRDefault="00BD324E" w:rsidP="00BD324E">
      <w:pPr>
        <w:pStyle w:val="normaal"/>
      </w:pPr>
    </w:p>
    <w:p w14:paraId="190390E1" w14:textId="77777777" w:rsidR="00BD324E" w:rsidRDefault="00BD324E" w:rsidP="00BD324E">
      <w:pPr>
        <w:pStyle w:val="normaal"/>
      </w:pPr>
    </w:p>
    <w:p w14:paraId="38D9C122" w14:textId="77777777" w:rsidR="00BD324E" w:rsidRDefault="00BD324E" w:rsidP="00BD324E">
      <w:pPr>
        <w:pStyle w:val="normaal"/>
      </w:pPr>
    </w:p>
    <w:p w14:paraId="14D31470" w14:textId="77777777" w:rsidR="00BD324E" w:rsidRDefault="00BD324E" w:rsidP="00BD324E">
      <w:pPr>
        <w:pStyle w:val="normaal"/>
      </w:pPr>
    </w:p>
    <w:p w14:paraId="00C3D36D" w14:textId="77777777" w:rsidR="00BD324E" w:rsidRDefault="00BD324E" w:rsidP="00BD324E">
      <w:pPr>
        <w:pStyle w:val="normaal"/>
      </w:pPr>
    </w:p>
    <w:p w14:paraId="73929BB1" w14:textId="77777777" w:rsidR="00BD324E" w:rsidRDefault="00BD324E" w:rsidP="00BD324E">
      <w:pPr>
        <w:pStyle w:val="normaal"/>
      </w:pPr>
    </w:p>
    <w:p w14:paraId="5A6BBDC0" w14:textId="77777777" w:rsidR="00BD324E" w:rsidRDefault="00BD324E" w:rsidP="00BD324E">
      <w:pPr>
        <w:pStyle w:val="normaal"/>
      </w:pPr>
    </w:p>
    <w:p w14:paraId="725B5C11" w14:textId="77777777" w:rsidR="00BD324E" w:rsidRDefault="00BD324E" w:rsidP="00BD324E">
      <w:pPr>
        <w:pStyle w:val="normaal"/>
      </w:pPr>
    </w:p>
    <w:p w14:paraId="35E7F8E7" w14:textId="77777777" w:rsidR="00BD324E" w:rsidRDefault="00BD324E" w:rsidP="00BD324E">
      <w:pPr>
        <w:pStyle w:val="normaal"/>
      </w:pPr>
    </w:p>
    <w:p w14:paraId="1F449202" w14:textId="77777777" w:rsidR="00BD324E" w:rsidRDefault="00BD324E" w:rsidP="00BD324E">
      <w:pPr>
        <w:pStyle w:val="normaal"/>
      </w:pPr>
    </w:p>
    <w:p w14:paraId="24A21345" w14:textId="77777777" w:rsidR="00BD324E" w:rsidRDefault="00BD324E" w:rsidP="00BD324E">
      <w:pPr>
        <w:pStyle w:val="normaal"/>
      </w:pPr>
    </w:p>
    <w:p w14:paraId="78CA0EE9" w14:textId="77777777" w:rsidR="00BD324E" w:rsidRDefault="00BD324E" w:rsidP="00BD324E">
      <w:pPr>
        <w:pStyle w:val="normaal"/>
      </w:pPr>
    </w:p>
    <w:p w14:paraId="7AAB0078" w14:textId="77777777" w:rsidR="00BD324E" w:rsidRDefault="00BD324E" w:rsidP="00BD324E">
      <w:pPr>
        <w:pStyle w:val="normaal"/>
      </w:pPr>
    </w:p>
    <w:p w14:paraId="0D3DF727" w14:textId="77777777" w:rsidR="00BD324E" w:rsidRDefault="00BD324E" w:rsidP="00BD324E">
      <w:pPr>
        <w:pStyle w:val="normaal"/>
      </w:pPr>
    </w:p>
    <w:p w14:paraId="1D3F5AE0" w14:textId="77777777" w:rsidR="00BD324E" w:rsidRDefault="00BD324E" w:rsidP="00BD324E">
      <w:pPr>
        <w:pStyle w:val="normaal"/>
      </w:pPr>
    </w:p>
    <w:p w14:paraId="228E16B3" w14:textId="77777777" w:rsidR="00BD324E" w:rsidRDefault="00BD324E" w:rsidP="00BD324E">
      <w:pPr>
        <w:pStyle w:val="normaal"/>
      </w:pPr>
    </w:p>
    <w:p w14:paraId="400983E7" w14:textId="77777777" w:rsidR="00BD324E" w:rsidRDefault="00BD324E" w:rsidP="00BD324E">
      <w:pPr>
        <w:pStyle w:val="normaal"/>
      </w:pPr>
    </w:p>
    <w:p w14:paraId="48161B92" w14:textId="77777777" w:rsidR="00BD324E" w:rsidRDefault="00BD324E" w:rsidP="00BD324E">
      <w:pPr>
        <w:pStyle w:val="normaal"/>
      </w:pPr>
    </w:p>
    <w:p w14:paraId="132C8409" w14:textId="77777777" w:rsidR="00BD324E" w:rsidRDefault="00BD324E" w:rsidP="00BD324E">
      <w:pPr>
        <w:pStyle w:val="normaal"/>
      </w:pPr>
    </w:p>
    <w:p w14:paraId="2DD21880" w14:textId="77777777" w:rsidR="00BD324E" w:rsidRDefault="00BD324E" w:rsidP="00BD324E">
      <w:pPr>
        <w:pStyle w:val="normaal"/>
      </w:pPr>
    </w:p>
    <w:p w14:paraId="7002A80F" w14:textId="77777777" w:rsidR="00BD324E" w:rsidRDefault="00BD324E" w:rsidP="00BD324E">
      <w:pPr>
        <w:pStyle w:val="normaal"/>
      </w:pPr>
    </w:p>
    <w:p w14:paraId="30F6452E" w14:textId="77777777" w:rsidR="00BD324E" w:rsidRDefault="00BD324E" w:rsidP="00BD324E">
      <w:pPr>
        <w:pStyle w:val="normaal"/>
      </w:pPr>
    </w:p>
    <w:p w14:paraId="72C8C79B" w14:textId="77777777" w:rsidR="00BD324E" w:rsidRDefault="00BD324E" w:rsidP="00BD324E">
      <w:pPr>
        <w:pStyle w:val="normaal"/>
      </w:pPr>
    </w:p>
    <w:p w14:paraId="1B9E739B" w14:textId="77777777" w:rsidR="00BD324E" w:rsidRDefault="00BD324E" w:rsidP="00BD324E">
      <w:pPr>
        <w:pStyle w:val="normaal"/>
      </w:pPr>
    </w:p>
    <w:p w14:paraId="28C5C32C" w14:textId="77777777" w:rsidR="00BD324E" w:rsidRDefault="00BD324E" w:rsidP="00BD324E">
      <w:pPr>
        <w:pStyle w:val="normaal"/>
      </w:pPr>
    </w:p>
    <w:p w14:paraId="45DD3BDC" w14:textId="77777777" w:rsidR="00BD324E" w:rsidRDefault="00BD324E" w:rsidP="00BD324E">
      <w:pPr>
        <w:pStyle w:val="normaal"/>
      </w:pPr>
    </w:p>
    <w:p w14:paraId="534E4EB2" w14:textId="77777777" w:rsidR="00BD324E" w:rsidRDefault="00BD324E" w:rsidP="00BD324E">
      <w:pPr>
        <w:pStyle w:val="normaal"/>
      </w:pPr>
    </w:p>
    <w:p w14:paraId="7E2DF274" w14:textId="77777777" w:rsidR="00BD324E" w:rsidRDefault="00BD324E" w:rsidP="00BD324E">
      <w:pPr>
        <w:pStyle w:val="normaal"/>
      </w:pPr>
    </w:p>
    <w:p w14:paraId="43BB4CA5" w14:textId="77777777" w:rsidR="00BD324E" w:rsidRDefault="00BD324E" w:rsidP="00BD324E">
      <w:pPr>
        <w:pStyle w:val="normaal"/>
      </w:pPr>
    </w:p>
    <w:p w14:paraId="03781D34" w14:textId="77777777" w:rsidR="00BD324E" w:rsidRDefault="00BD324E" w:rsidP="00BD324E">
      <w:pPr>
        <w:pStyle w:val="normaal"/>
      </w:pPr>
    </w:p>
    <w:p w14:paraId="3204FD67" w14:textId="77777777" w:rsidR="00BD324E" w:rsidRDefault="00BD324E" w:rsidP="00BD324E">
      <w:pPr>
        <w:pStyle w:val="normaal"/>
      </w:pPr>
    </w:p>
    <w:p w14:paraId="047A2406" w14:textId="77777777" w:rsidR="00BD324E" w:rsidRDefault="00BD324E" w:rsidP="00BD324E">
      <w:pPr>
        <w:pStyle w:val="normaal"/>
      </w:pPr>
    </w:p>
    <w:p w14:paraId="5CC4B838" w14:textId="77777777" w:rsidR="00BD324E" w:rsidRDefault="00BD324E" w:rsidP="00BD324E">
      <w:pPr>
        <w:pStyle w:val="normaal"/>
      </w:pPr>
    </w:p>
    <w:p w14:paraId="01DC2579" w14:textId="77777777" w:rsidR="00BD324E" w:rsidRDefault="00BD324E" w:rsidP="00BD324E">
      <w:pPr>
        <w:pStyle w:val="normaal"/>
      </w:pPr>
    </w:p>
    <w:p w14:paraId="446D8DAD" w14:textId="77777777"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C91E8" w14:textId="77777777" w:rsidR="00415CFE" w:rsidRDefault="00415CFE">
      <w:r>
        <w:separator/>
      </w:r>
    </w:p>
  </w:endnote>
  <w:endnote w:type="continuationSeparator" w:id="0">
    <w:p w14:paraId="370DCB8C" w14:textId="77777777" w:rsidR="00415CFE" w:rsidRDefault="00415CFE">
      <w:r>
        <w:continuationSeparator/>
      </w:r>
    </w:p>
  </w:endnote>
  <w:endnote w:type="continuationNotice" w:id="1">
    <w:p w14:paraId="5A3284F9" w14:textId="77777777" w:rsidR="00415CFE" w:rsidRDefault="00415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415CFE" w:rsidRDefault="00415CFE">
        <w:pPr>
          <w:pStyle w:val="Footer"/>
          <w:jc w:val="center"/>
        </w:pPr>
        <w:r>
          <w:fldChar w:fldCharType="begin"/>
        </w:r>
        <w:r>
          <w:instrText xml:space="preserve"> PAGE   \* MERGEFORMAT </w:instrText>
        </w:r>
        <w:r>
          <w:fldChar w:fldCharType="separate"/>
        </w:r>
        <w:r w:rsidR="00BD324E">
          <w:rPr>
            <w:noProof/>
          </w:rPr>
          <w:t>1</w:t>
        </w:r>
        <w:r>
          <w:rPr>
            <w:noProof/>
          </w:rPr>
          <w:fldChar w:fldCharType="end"/>
        </w:r>
      </w:p>
    </w:sdtContent>
  </w:sdt>
  <w:p w14:paraId="17F0446D" w14:textId="77777777" w:rsidR="00415CFE" w:rsidRDefault="0041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35AD2" w14:textId="77777777" w:rsidR="00415CFE" w:rsidRDefault="00415CFE">
      <w:r>
        <w:separator/>
      </w:r>
    </w:p>
  </w:footnote>
  <w:footnote w:type="continuationSeparator" w:id="0">
    <w:p w14:paraId="6A760B00" w14:textId="77777777" w:rsidR="00415CFE" w:rsidRDefault="00415CFE">
      <w:r>
        <w:continuationSeparator/>
      </w:r>
    </w:p>
  </w:footnote>
  <w:footnote w:type="continuationNotice" w:id="1">
    <w:p w14:paraId="4C84979E" w14:textId="77777777" w:rsidR="00415CFE" w:rsidRDefault="00415C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4"/>
  </w:num>
  <w:num w:numId="4">
    <w:abstractNumId w:val="6"/>
  </w:num>
  <w:num w:numId="5">
    <w:abstractNumId w:val="5"/>
  </w:num>
  <w:num w:numId="6">
    <w:abstractNumId w:val="17"/>
  </w:num>
  <w:num w:numId="7">
    <w:abstractNumId w:val="7"/>
  </w:num>
  <w:num w:numId="8">
    <w:abstractNumId w:val="12"/>
  </w:num>
  <w:num w:numId="9">
    <w:abstractNumId w:val="14"/>
  </w:num>
  <w:num w:numId="10">
    <w:abstractNumId w:val="10"/>
  </w:num>
  <w:num w:numId="11">
    <w:abstractNumId w:val="8"/>
  </w:num>
  <w:num w:numId="12">
    <w:abstractNumId w:val="15"/>
  </w:num>
  <w:num w:numId="13">
    <w:abstractNumId w:val="9"/>
  </w:num>
  <w:num w:numId="14">
    <w:abstractNumId w:val="3"/>
  </w:num>
  <w:num w:numId="15">
    <w:abstractNumId w:val="20"/>
  </w:num>
  <w:num w:numId="16">
    <w:abstractNumId w:val="0"/>
  </w:num>
  <w:num w:numId="17">
    <w:abstractNumId w:val="2"/>
  </w:num>
  <w:num w:numId="18">
    <w:abstractNumId w:val="11"/>
  </w:num>
  <w:num w:numId="19">
    <w:abstractNumId w:val="1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3529A"/>
    <w:rsid w:val="000446E6"/>
    <w:rsid w:val="00046436"/>
    <w:rsid w:val="00046951"/>
    <w:rsid w:val="00053836"/>
    <w:rsid w:val="00063FDB"/>
    <w:rsid w:val="00065BA8"/>
    <w:rsid w:val="00083559"/>
    <w:rsid w:val="000872A0"/>
    <w:rsid w:val="0009370E"/>
    <w:rsid w:val="000A0B47"/>
    <w:rsid w:val="000A2134"/>
    <w:rsid w:val="000A5BC5"/>
    <w:rsid w:val="000B6FCF"/>
    <w:rsid w:val="000C60D0"/>
    <w:rsid w:val="000C78BD"/>
    <w:rsid w:val="000D4B41"/>
    <w:rsid w:val="000F184D"/>
    <w:rsid w:val="000F285D"/>
    <w:rsid w:val="000F5468"/>
    <w:rsid w:val="00112B02"/>
    <w:rsid w:val="00120461"/>
    <w:rsid w:val="00121363"/>
    <w:rsid w:val="0012543C"/>
    <w:rsid w:val="00126865"/>
    <w:rsid w:val="00132491"/>
    <w:rsid w:val="00141B84"/>
    <w:rsid w:val="0015519A"/>
    <w:rsid w:val="001566A8"/>
    <w:rsid w:val="001567C3"/>
    <w:rsid w:val="0016133D"/>
    <w:rsid w:val="00161F4E"/>
    <w:rsid w:val="00163FD8"/>
    <w:rsid w:val="00175B35"/>
    <w:rsid w:val="00175E2F"/>
    <w:rsid w:val="00176FCE"/>
    <w:rsid w:val="00177E78"/>
    <w:rsid w:val="00182A47"/>
    <w:rsid w:val="001843B3"/>
    <w:rsid w:val="00193A07"/>
    <w:rsid w:val="00196E77"/>
    <w:rsid w:val="001C02A6"/>
    <w:rsid w:val="001C0B8C"/>
    <w:rsid w:val="001C4842"/>
    <w:rsid w:val="001D62B9"/>
    <w:rsid w:val="001E2EB0"/>
    <w:rsid w:val="001E481F"/>
    <w:rsid w:val="0020341F"/>
    <w:rsid w:val="002078A9"/>
    <w:rsid w:val="00213863"/>
    <w:rsid w:val="0022147B"/>
    <w:rsid w:val="002219C8"/>
    <w:rsid w:val="00224EC7"/>
    <w:rsid w:val="00225355"/>
    <w:rsid w:val="0023359C"/>
    <w:rsid w:val="00236DBD"/>
    <w:rsid w:val="00243049"/>
    <w:rsid w:val="00244961"/>
    <w:rsid w:val="0026511C"/>
    <w:rsid w:val="002673AD"/>
    <w:rsid w:val="00270FEA"/>
    <w:rsid w:val="002847BE"/>
    <w:rsid w:val="00285936"/>
    <w:rsid w:val="002978C9"/>
    <w:rsid w:val="002A08D9"/>
    <w:rsid w:val="002A22D4"/>
    <w:rsid w:val="002A2F6E"/>
    <w:rsid w:val="002A3E9A"/>
    <w:rsid w:val="002D06D6"/>
    <w:rsid w:val="002D0D2C"/>
    <w:rsid w:val="002D12BA"/>
    <w:rsid w:val="002D1D79"/>
    <w:rsid w:val="002D327C"/>
    <w:rsid w:val="002D4187"/>
    <w:rsid w:val="002E29A4"/>
    <w:rsid w:val="002E3A90"/>
    <w:rsid w:val="002F4565"/>
    <w:rsid w:val="00302223"/>
    <w:rsid w:val="003064D0"/>
    <w:rsid w:val="003124B6"/>
    <w:rsid w:val="00317312"/>
    <w:rsid w:val="00317C8B"/>
    <w:rsid w:val="00323079"/>
    <w:rsid w:val="0032423C"/>
    <w:rsid w:val="003304AA"/>
    <w:rsid w:val="003323C1"/>
    <w:rsid w:val="00341DEB"/>
    <w:rsid w:val="00342C81"/>
    <w:rsid w:val="00354E60"/>
    <w:rsid w:val="00355236"/>
    <w:rsid w:val="00355491"/>
    <w:rsid w:val="00356F60"/>
    <w:rsid w:val="003656A6"/>
    <w:rsid w:val="00366638"/>
    <w:rsid w:val="00370B78"/>
    <w:rsid w:val="00376B02"/>
    <w:rsid w:val="00386B38"/>
    <w:rsid w:val="0039023D"/>
    <w:rsid w:val="00393BA1"/>
    <w:rsid w:val="00396DDC"/>
    <w:rsid w:val="003A0C69"/>
    <w:rsid w:val="003A33C3"/>
    <w:rsid w:val="003B2C06"/>
    <w:rsid w:val="003C22E7"/>
    <w:rsid w:val="003C631C"/>
    <w:rsid w:val="003D2599"/>
    <w:rsid w:val="003D29F8"/>
    <w:rsid w:val="00402241"/>
    <w:rsid w:val="00405E53"/>
    <w:rsid w:val="00414A05"/>
    <w:rsid w:val="004152F1"/>
    <w:rsid w:val="00415CFE"/>
    <w:rsid w:val="00420AC0"/>
    <w:rsid w:val="00426970"/>
    <w:rsid w:val="00440CBF"/>
    <w:rsid w:val="00441A9F"/>
    <w:rsid w:val="00442359"/>
    <w:rsid w:val="004430CF"/>
    <w:rsid w:val="00444C79"/>
    <w:rsid w:val="00445A9F"/>
    <w:rsid w:val="004514CB"/>
    <w:rsid w:val="00455626"/>
    <w:rsid w:val="00461954"/>
    <w:rsid w:val="00463933"/>
    <w:rsid w:val="00464E6F"/>
    <w:rsid w:val="00466011"/>
    <w:rsid w:val="00481F30"/>
    <w:rsid w:val="00482CAF"/>
    <w:rsid w:val="004844C7"/>
    <w:rsid w:val="004846E0"/>
    <w:rsid w:val="004855B8"/>
    <w:rsid w:val="00486B74"/>
    <w:rsid w:val="00491310"/>
    <w:rsid w:val="004A17F8"/>
    <w:rsid w:val="004A310F"/>
    <w:rsid w:val="004B712C"/>
    <w:rsid w:val="004B7470"/>
    <w:rsid w:val="004C56EA"/>
    <w:rsid w:val="004D3AAB"/>
    <w:rsid w:val="004E5A21"/>
    <w:rsid w:val="004F5545"/>
    <w:rsid w:val="005033CC"/>
    <w:rsid w:val="005143F7"/>
    <w:rsid w:val="00517EEE"/>
    <w:rsid w:val="00522190"/>
    <w:rsid w:val="00527D1C"/>
    <w:rsid w:val="00534064"/>
    <w:rsid w:val="00536A18"/>
    <w:rsid w:val="005403C4"/>
    <w:rsid w:val="0054140F"/>
    <w:rsid w:val="00541A99"/>
    <w:rsid w:val="00545902"/>
    <w:rsid w:val="0055509A"/>
    <w:rsid w:val="00560278"/>
    <w:rsid w:val="00572CBF"/>
    <w:rsid w:val="00580BBC"/>
    <w:rsid w:val="005827EE"/>
    <w:rsid w:val="0058536B"/>
    <w:rsid w:val="0058670D"/>
    <w:rsid w:val="005A02A7"/>
    <w:rsid w:val="005A579C"/>
    <w:rsid w:val="005B3156"/>
    <w:rsid w:val="005C26C7"/>
    <w:rsid w:val="005D1B9C"/>
    <w:rsid w:val="005D514B"/>
    <w:rsid w:val="005E421F"/>
    <w:rsid w:val="005E511B"/>
    <w:rsid w:val="005F3D84"/>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66793"/>
    <w:rsid w:val="006828C3"/>
    <w:rsid w:val="00687E60"/>
    <w:rsid w:val="0069592A"/>
    <w:rsid w:val="006A03DF"/>
    <w:rsid w:val="006A5F16"/>
    <w:rsid w:val="006A62C2"/>
    <w:rsid w:val="006B20BB"/>
    <w:rsid w:val="006C080A"/>
    <w:rsid w:val="006C320D"/>
    <w:rsid w:val="006D1D26"/>
    <w:rsid w:val="006D2433"/>
    <w:rsid w:val="006D29AD"/>
    <w:rsid w:val="006D5BF8"/>
    <w:rsid w:val="006E67DD"/>
    <w:rsid w:val="006F3425"/>
    <w:rsid w:val="006F5B39"/>
    <w:rsid w:val="00701156"/>
    <w:rsid w:val="00702FB9"/>
    <w:rsid w:val="007044E2"/>
    <w:rsid w:val="00706A0A"/>
    <w:rsid w:val="00724FB9"/>
    <w:rsid w:val="0072519E"/>
    <w:rsid w:val="007261D6"/>
    <w:rsid w:val="00727F9F"/>
    <w:rsid w:val="00734AB8"/>
    <w:rsid w:val="007442F1"/>
    <w:rsid w:val="0075676D"/>
    <w:rsid w:val="0077648F"/>
    <w:rsid w:val="00777DE4"/>
    <w:rsid w:val="0078593C"/>
    <w:rsid w:val="00787B9C"/>
    <w:rsid w:val="007928F1"/>
    <w:rsid w:val="007A3B96"/>
    <w:rsid w:val="007A568E"/>
    <w:rsid w:val="007A5BD9"/>
    <w:rsid w:val="007A6F01"/>
    <w:rsid w:val="007A6F08"/>
    <w:rsid w:val="007C2A5E"/>
    <w:rsid w:val="007D24C6"/>
    <w:rsid w:val="007D511E"/>
    <w:rsid w:val="007D55E7"/>
    <w:rsid w:val="007D6240"/>
    <w:rsid w:val="007E0EAF"/>
    <w:rsid w:val="007E164A"/>
    <w:rsid w:val="007E3CED"/>
    <w:rsid w:val="007E5625"/>
    <w:rsid w:val="007E5C7C"/>
    <w:rsid w:val="007F2F7E"/>
    <w:rsid w:val="00801C50"/>
    <w:rsid w:val="008052AF"/>
    <w:rsid w:val="00805E56"/>
    <w:rsid w:val="00814376"/>
    <w:rsid w:val="008153F9"/>
    <w:rsid w:val="008161BD"/>
    <w:rsid w:val="0082188D"/>
    <w:rsid w:val="00822562"/>
    <w:rsid w:val="00822DE0"/>
    <w:rsid w:val="00830EDB"/>
    <w:rsid w:val="00837D8B"/>
    <w:rsid w:val="008421BD"/>
    <w:rsid w:val="00850AF9"/>
    <w:rsid w:val="00857581"/>
    <w:rsid w:val="0086094C"/>
    <w:rsid w:val="00860BF7"/>
    <w:rsid w:val="00867634"/>
    <w:rsid w:val="0087550E"/>
    <w:rsid w:val="00875D11"/>
    <w:rsid w:val="008A47A8"/>
    <w:rsid w:val="008A6FF9"/>
    <w:rsid w:val="008B2D67"/>
    <w:rsid w:val="008B3314"/>
    <w:rsid w:val="008B5D77"/>
    <w:rsid w:val="008B68B5"/>
    <w:rsid w:val="008C2A3A"/>
    <w:rsid w:val="008C3476"/>
    <w:rsid w:val="008D0FAF"/>
    <w:rsid w:val="008D4BCA"/>
    <w:rsid w:val="008D5440"/>
    <w:rsid w:val="008E0309"/>
    <w:rsid w:val="009121D7"/>
    <w:rsid w:val="00913974"/>
    <w:rsid w:val="009141DA"/>
    <w:rsid w:val="00921BA1"/>
    <w:rsid w:val="009220EB"/>
    <w:rsid w:val="00927BBF"/>
    <w:rsid w:val="009364C1"/>
    <w:rsid w:val="00942A0F"/>
    <w:rsid w:val="00945FB0"/>
    <w:rsid w:val="0094702A"/>
    <w:rsid w:val="009577F9"/>
    <w:rsid w:val="00963A02"/>
    <w:rsid w:val="0096646B"/>
    <w:rsid w:val="00966E4B"/>
    <w:rsid w:val="00966FF4"/>
    <w:rsid w:val="009804F1"/>
    <w:rsid w:val="009859FD"/>
    <w:rsid w:val="009A25F6"/>
    <w:rsid w:val="009B2348"/>
    <w:rsid w:val="009C240C"/>
    <w:rsid w:val="009D4434"/>
    <w:rsid w:val="009D735D"/>
    <w:rsid w:val="009E3E9D"/>
    <w:rsid w:val="009E544B"/>
    <w:rsid w:val="009F244C"/>
    <w:rsid w:val="009F2F2B"/>
    <w:rsid w:val="00A04584"/>
    <w:rsid w:val="00A05863"/>
    <w:rsid w:val="00A075BE"/>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05A0"/>
    <w:rsid w:val="00A92703"/>
    <w:rsid w:val="00AC1431"/>
    <w:rsid w:val="00AC3ED0"/>
    <w:rsid w:val="00AC5174"/>
    <w:rsid w:val="00AC5BB7"/>
    <w:rsid w:val="00AE3561"/>
    <w:rsid w:val="00AE3AAC"/>
    <w:rsid w:val="00AF434F"/>
    <w:rsid w:val="00B02B5C"/>
    <w:rsid w:val="00B03B45"/>
    <w:rsid w:val="00B17D54"/>
    <w:rsid w:val="00B20504"/>
    <w:rsid w:val="00B2666D"/>
    <w:rsid w:val="00B321F0"/>
    <w:rsid w:val="00B327D1"/>
    <w:rsid w:val="00B32DA7"/>
    <w:rsid w:val="00B4692D"/>
    <w:rsid w:val="00B52EEA"/>
    <w:rsid w:val="00B56A89"/>
    <w:rsid w:val="00B77257"/>
    <w:rsid w:val="00B828C7"/>
    <w:rsid w:val="00B8569D"/>
    <w:rsid w:val="00B934D2"/>
    <w:rsid w:val="00BB0026"/>
    <w:rsid w:val="00BB0049"/>
    <w:rsid w:val="00BB4F86"/>
    <w:rsid w:val="00BC5818"/>
    <w:rsid w:val="00BD324E"/>
    <w:rsid w:val="00BD5E22"/>
    <w:rsid w:val="00BE4DAD"/>
    <w:rsid w:val="00C05FA0"/>
    <w:rsid w:val="00C121FB"/>
    <w:rsid w:val="00C178D5"/>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4633"/>
    <w:rsid w:val="00CB25A2"/>
    <w:rsid w:val="00CB3FDC"/>
    <w:rsid w:val="00CB6A53"/>
    <w:rsid w:val="00CB6B7B"/>
    <w:rsid w:val="00CB78DA"/>
    <w:rsid w:val="00CC0C8A"/>
    <w:rsid w:val="00CC4031"/>
    <w:rsid w:val="00CD0BA2"/>
    <w:rsid w:val="00CE3F9B"/>
    <w:rsid w:val="00CE7D69"/>
    <w:rsid w:val="00CF3A10"/>
    <w:rsid w:val="00CF5F15"/>
    <w:rsid w:val="00D1357C"/>
    <w:rsid w:val="00D226C9"/>
    <w:rsid w:val="00D23934"/>
    <w:rsid w:val="00D24F52"/>
    <w:rsid w:val="00D3122E"/>
    <w:rsid w:val="00D3259E"/>
    <w:rsid w:val="00D36147"/>
    <w:rsid w:val="00D6034E"/>
    <w:rsid w:val="00D60392"/>
    <w:rsid w:val="00D6392D"/>
    <w:rsid w:val="00D70FA2"/>
    <w:rsid w:val="00D7364B"/>
    <w:rsid w:val="00D73CB5"/>
    <w:rsid w:val="00D753BB"/>
    <w:rsid w:val="00D77F0D"/>
    <w:rsid w:val="00D829FE"/>
    <w:rsid w:val="00D85B89"/>
    <w:rsid w:val="00D86951"/>
    <w:rsid w:val="00D87BFC"/>
    <w:rsid w:val="00D93E19"/>
    <w:rsid w:val="00D95D16"/>
    <w:rsid w:val="00D95ED0"/>
    <w:rsid w:val="00D96A83"/>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0CE6"/>
    <w:rsid w:val="00E559F3"/>
    <w:rsid w:val="00E62CAF"/>
    <w:rsid w:val="00E641AD"/>
    <w:rsid w:val="00E723DD"/>
    <w:rsid w:val="00E76725"/>
    <w:rsid w:val="00E7675A"/>
    <w:rsid w:val="00E90BA8"/>
    <w:rsid w:val="00E92FE4"/>
    <w:rsid w:val="00E94C38"/>
    <w:rsid w:val="00E95594"/>
    <w:rsid w:val="00EA5AC8"/>
    <w:rsid w:val="00EB160E"/>
    <w:rsid w:val="00EB1B12"/>
    <w:rsid w:val="00EB3EAA"/>
    <w:rsid w:val="00EC4A02"/>
    <w:rsid w:val="00EC5CEE"/>
    <w:rsid w:val="00ED00D0"/>
    <w:rsid w:val="00EE5F30"/>
    <w:rsid w:val="00EF4DB8"/>
    <w:rsid w:val="00F130F0"/>
    <w:rsid w:val="00F2282D"/>
    <w:rsid w:val="00F22CA9"/>
    <w:rsid w:val="00F23250"/>
    <w:rsid w:val="00F24CC9"/>
    <w:rsid w:val="00F36EE9"/>
    <w:rsid w:val="00F41C82"/>
    <w:rsid w:val="00F460A8"/>
    <w:rsid w:val="00F60E86"/>
    <w:rsid w:val="00F6402F"/>
    <w:rsid w:val="00F70104"/>
    <w:rsid w:val="00F7316D"/>
    <w:rsid w:val="00F9085A"/>
    <w:rsid w:val="00FA06AC"/>
    <w:rsid w:val="00FA1E40"/>
    <w:rsid w:val="00FA5364"/>
    <w:rsid w:val="00FA77A7"/>
    <w:rsid w:val="00FB1563"/>
    <w:rsid w:val="00FB5672"/>
    <w:rsid w:val="00FB7151"/>
    <w:rsid w:val="00FB7CED"/>
    <w:rsid w:val="00FC0E91"/>
    <w:rsid w:val="00FC67D5"/>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18"/>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csu.edu/project/posters/SideWindows/TableVGrap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69B37298-F660-4176-BF42-C9DBB743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Harting</cp:lastModifiedBy>
  <cp:revision>3</cp:revision>
  <cp:lastPrinted>2012-12-05T11:32:00Z</cp:lastPrinted>
  <dcterms:created xsi:type="dcterms:W3CDTF">2013-02-20T16:58:00Z</dcterms:created>
  <dcterms:modified xsi:type="dcterms:W3CDTF">2013-02-27T22:27:00Z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