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F3ABB" w:rsidRDefault="001535C5" w:rsidP="00DF3ABB">
      <w:pPr>
        <w:spacing w:line="360" w:lineRule="auto"/>
        <w:rPr>
          <w:bCs/>
          <w:szCs w:val="24"/>
        </w:rPr>
      </w:pPr>
      <w:r w:rsidRPr="001535C5">
        <w:rPr>
          <w:bCs/>
          <w:noProof/>
          <w:szCs w:val="24"/>
          <w:lang w:eastAsia="nl-NL"/>
        </w:rPr>
        <w:pict>
          <v:line id="Line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9.65pt" to="459.25pt,1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" strokeweight=".26mm"/>
        </w:pict>
      </w:r>
    </w:p>
    <w:p w:rsidR="00DF3ABB" w:rsidRDefault="00DF3ABB" w:rsidP="00DF3ABB">
      <w:pPr>
        <w:pStyle w:val="Voettekst"/>
        <w:spacing w:line="360" w:lineRule="auto"/>
        <w:rPr>
          <w:b/>
          <w:bCs/>
        </w:rPr>
      </w:pPr>
    </w:p>
    <w:p w:rsidR="00DF3ABB" w:rsidRPr="007E769B" w:rsidRDefault="00DF3ABB" w:rsidP="00DF3ABB">
      <w:pPr>
        <w:spacing w:line="360" w:lineRule="auto"/>
        <w:rPr>
          <w:b/>
          <w:szCs w:val="24"/>
        </w:rPr>
      </w:pPr>
      <w:r w:rsidRPr="007E769B">
        <w:rPr>
          <w:b/>
          <w:szCs w:val="24"/>
        </w:rPr>
        <w:t>De invloed van verschillende liganden op de humane glucocorticoïdreceptor: frequente volledige tran</w:t>
      </w:r>
      <w:r w:rsidR="00880E2F">
        <w:rPr>
          <w:b/>
          <w:szCs w:val="24"/>
        </w:rPr>
        <w:t xml:space="preserve">slocatie bij cortisol en </w:t>
      </w:r>
      <w:proofErr w:type="spellStart"/>
      <w:r w:rsidR="00880E2F">
        <w:rPr>
          <w:b/>
          <w:szCs w:val="24"/>
        </w:rPr>
        <w:t>mifepri</w:t>
      </w:r>
      <w:r w:rsidRPr="007E769B">
        <w:rPr>
          <w:b/>
          <w:szCs w:val="24"/>
        </w:rPr>
        <w:t>ston</w:t>
      </w:r>
      <w:proofErr w:type="spellEnd"/>
      <w:r w:rsidRPr="007E769B">
        <w:rPr>
          <w:b/>
          <w:szCs w:val="24"/>
        </w:rPr>
        <w:t>, matige volledige translocatie bij corticosteron, en infrequente volledige translocatie bij 17AAG</w:t>
      </w:r>
    </w:p>
    <w:p w:rsidR="00DF3ABB" w:rsidRDefault="001535C5" w:rsidP="00DF3ABB">
      <w:pPr>
        <w:pStyle w:val="Voettekst"/>
        <w:spacing w:line="360" w:lineRule="auto"/>
        <w:rPr>
          <w:b/>
          <w:bCs/>
        </w:rPr>
      </w:pPr>
      <w:r w:rsidRPr="001535C5">
        <w:rPr>
          <w:b/>
          <w:bCs/>
          <w:noProof/>
          <w:lang w:eastAsia="nl-NL"/>
        </w:rPr>
        <w:pict>
          <v:line id="Line 4" o:spid="_x0000_s1027"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2.55pt" to="459.25pt,2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" strokeweight=".26mm"/>
        </w:pict>
      </w:r>
    </w:p>
    <w:p w:rsidR="00DF3ABB" w:rsidRDefault="00DF3ABB" w:rsidP="00DF3ABB">
      <w:pPr>
        <w:pStyle w:val="Voettekst"/>
        <w:spacing w:line="360" w:lineRule="auto"/>
        <w:rPr>
          <w:b/>
          <w:bCs/>
        </w:rPr>
      </w:pPr>
    </w:p>
    <w:p w:rsidR="00DF3ABB" w:rsidRDefault="00DF3ABB" w:rsidP="00DF3ABB">
      <w:pPr>
        <w:pStyle w:val="Voettekst"/>
        <w:spacing w:line="360" w:lineRule="auto"/>
        <w:rPr>
          <w:b/>
          <w:bCs/>
        </w:rPr>
      </w:pPr>
    </w:p>
    <w:p w:rsidR="00DF3ABB" w:rsidRPr="00500352" w:rsidRDefault="00DF3ABB" w:rsidP="00DF3ABB">
      <w:pPr>
        <w:pStyle w:val="Voettekst"/>
        <w:spacing w:line="360" w:lineRule="auto"/>
        <w:rPr>
          <w:bCs/>
        </w:rPr>
      </w:pPr>
      <w:r w:rsidRPr="00500352">
        <w:rPr>
          <w:bCs/>
        </w:rPr>
        <w:t xml:space="preserve">Opdracht: Onderzoeksverslag </w:t>
      </w:r>
    </w:p>
    <w:p w:rsidR="00DF3ABB" w:rsidRPr="00500352" w:rsidRDefault="00DF3ABB" w:rsidP="00DF3ABB">
      <w:pPr>
        <w:pStyle w:val="Voettekst"/>
        <w:spacing w:line="360" w:lineRule="auto"/>
      </w:pPr>
      <w:r w:rsidRPr="00500352">
        <w:rPr>
          <w:bCs/>
        </w:rPr>
        <w:t>Versie: eindversie herkansing</w:t>
      </w:r>
    </w:p>
    <w:p w:rsidR="00DF3ABB" w:rsidRPr="00500352" w:rsidRDefault="00DF3ABB" w:rsidP="00DF3ABB">
      <w:pPr>
        <w:pStyle w:val="Voettekst"/>
        <w:spacing w:line="360" w:lineRule="auto"/>
        <w:rPr>
          <w:bCs/>
        </w:rPr>
      </w:pPr>
      <w:r w:rsidRPr="00500352">
        <w:rPr>
          <w:bCs/>
        </w:rPr>
        <w:t>Opdrachtspecifieke inlevereisen: (zie bijbehorende thuisopdracht)</w:t>
      </w:r>
    </w:p>
    <w:p w:rsidR="00DF3ABB" w:rsidRPr="00500352" w:rsidRDefault="00DF3ABB" w:rsidP="00DF3ABB">
      <w:pPr>
        <w:pStyle w:val="Voettekst"/>
        <w:numPr>
          <w:ilvl w:val="0"/>
          <w:numId w:val="3"/>
        </w:numPr>
        <w:spacing w:line="360" w:lineRule="auto"/>
        <w:rPr>
          <w:bCs/>
        </w:rPr>
      </w:pPr>
      <w:r w:rsidRPr="00500352">
        <w:t>het overzichtsartikel en het onderzoeksartikel zijn inhoudelijk gebruikt</w:t>
      </w:r>
    </w:p>
    <w:p w:rsidR="00DF3ABB" w:rsidRPr="00500352" w:rsidRDefault="00DF3ABB" w:rsidP="00DF3ABB">
      <w:pPr>
        <w:pStyle w:val="Voettekst"/>
        <w:numPr>
          <w:ilvl w:val="0"/>
          <w:numId w:val="3"/>
        </w:numPr>
        <w:spacing w:line="360" w:lineRule="auto"/>
        <w:rPr>
          <w:bCs/>
        </w:rPr>
      </w:pPr>
      <w:r w:rsidRPr="00500352">
        <w:rPr>
          <w:bCs/>
          <w:szCs w:val="22"/>
        </w:rPr>
        <w:t xml:space="preserve">er is minstens 1 grafiek of tabel gebruikt om de resultaten weer te geven </w:t>
      </w:r>
    </w:p>
    <w:p w:rsidR="00DF3ABB" w:rsidRDefault="00DF3ABB" w:rsidP="00DF3ABB">
      <w:pPr>
        <w:pStyle w:val="Voettekst"/>
        <w:spacing w:line="360" w:lineRule="auto"/>
        <w:rPr>
          <w:b/>
          <w:bCs/>
        </w:rPr>
      </w:pPr>
    </w:p>
    <w:p w:rsidR="00DF3ABB" w:rsidRDefault="00DF3ABB" w:rsidP="00DF3ABB">
      <w:pPr>
        <w:pStyle w:val="Voettekst"/>
        <w:spacing w:line="360" w:lineRule="auto"/>
        <w:rPr>
          <w:b/>
          <w:bCs/>
        </w:rPr>
      </w:pPr>
    </w:p>
    <w:p w:rsidR="00DF3ABB" w:rsidRDefault="00DF3ABB" w:rsidP="00DF3ABB">
      <w:pPr>
        <w:pStyle w:val="Voettekst"/>
        <w:spacing w:line="360" w:lineRule="auto"/>
        <w:rPr>
          <w:b/>
          <w:bCs/>
        </w:rPr>
      </w:pPr>
    </w:p>
    <w:p w:rsidR="00DF3ABB" w:rsidRDefault="00DF3ABB" w:rsidP="00DF3ABB">
      <w:pPr>
        <w:pStyle w:val="Voettekst"/>
        <w:spacing w:line="360" w:lineRule="auto"/>
      </w:pPr>
      <w:r>
        <w:rPr>
          <w:b/>
          <w:bCs/>
        </w:rPr>
        <w:t>Naam student: Celeste Vacirca</w:t>
      </w:r>
    </w:p>
    <w:p w:rsidR="00DF3ABB" w:rsidRDefault="00DF3ABB" w:rsidP="00DF3ABB">
      <w:pPr>
        <w:pStyle w:val="Voettekst"/>
        <w:spacing w:line="360" w:lineRule="auto"/>
      </w:pPr>
      <w:r>
        <w:rPr>
          <w:b/>
          <w:bCs/>
        </w:rPr>
        <w:t>studentnummer: 10976728</w:t>
      </w:r>
    </w:p>
    <w:p w:rsidR="00DF3ABB" w:rsidRDefault="00DF3ABB" w:rsidP="00DF3ABB">
      <w:pPr>
        <w:pStyle w:val="Voettekst"/>
        <w:spacing w:line="360" w:lineRule="auto"/>
      </w:pPr>
      <w:r>
        <w:rPr>
          <w:b/>
          <w:bCs/>
        </w:rPr>
        <w:t>ABV groep: P4</w:t>
      </w:r>
    </w:p>
    <w:p w:rsidR="00DF3ABB" w:rsidRDefault="00DF3ABB" w:rsidP="00DF3ABB">
      <w:pPr>
        <w:pStyle w:val="Voettekst"/>
        <w:spacing w:line="360" w:lineRule="auto"/>
      </w:pPr>
      <w:r>
        <w:rPr>
          <w:b/>
          <w:bCs/>
        </w:rPr>
        <w:t xml:space="preserve">Naam docent: Laura Koenders </w:t>
      </w:r>
    </w:p>
    <w:p w:rsidR="00DF3ABB" w:rsidRDefault="00DF3ABB" w:rsidP="00DF3ABB">
      <w:pPr>
        <w:pStyle w:val="Voettekst"/>
        <w:spacing w:line="360" w:lineRule="auto"/>
        <w:rPr>
          <w:b/>
          <w:bCs/>
        </w:rPr>
      </w:pPr>
    </w:p>
    <w:p w:rsidR="00DF3ABB" w:rsidRDefault="00DF3ABB" w:rsidP="00DF3ABB">
      <w:pPr>
        <w:pStyle w:val="Voettekst"/>
        <w:spacing w:line="360" w:lineRule="auto"/>
        <w:rPr>
          <w:b/>
          <w:bCs/>
        </w:rPr>
      </w:pPr>
    </w:p>
    <w:p w:rsidR="00DF3ABB" w:rsidRDefault="00DF3ABB" w:rsidP="00DF3ABB">
      <w:pPr>
        <w:pStyle w:val="Voettekst"/>
        <w:spacing w:line="360" w:lineRule="auto"/>
        <w:rPr>
          <w:b/>
          <w:bCs/>
        </w:rPr>
      </w:pPr>
    </w:p>
    <w:p w:rsidR="00DF3ABB" w:rsidRDefault="00DF3ABB" w:rsidP="00DF3ABB">
      <w:pPr>
        <w:pStyle w:val="Voettekst"/>
        <w:spacing w:line="360" w:lineRule="auto"/>
        <w:rPr>
          <w:b/>
          <w:bCs/>
        </w:rPr>
      </w:pPr>
    </w:p>
    <w:p w:rsidR="00DF3ABB" w:rsidRDefault="00DF3ABB" w:rsidP="00DF3ABB">
      <w:pPr>
        <w:pStyle w:val="Voettekst"/>
        <w:spacing w:line="360" w:lineRule="auto"/>
        <w:rPr>
          <w:b/>
          <w:bCs/>
        </w:rPr>
      </w:pPr>
    </w:p>
    <w:p w:rsidR="00DF3ABB" w:rsidRDefault="00DF3ABB" w:rsidP="00DF3ABB">
      <w:pPr>
        <w:pStyle w:val="Voettekst"/>
        <w:spacing w:line="360" w:lineRule="auto"/>
        <w:rPr>
          <w:b/>
          <w:bCs/>
        </w:rPr>
      </w:pPr>
    </w:p>
    <w:p w:rsidR="00DF3ABB" w:rsidRDefault="00DF3ABB" w:rsidP="00DF3ABB">
      <w:pPr>
        <w:pStyle w:val="Voettekst"/>
        <w:spacing w:line="360" w:lineRule="auto"/>
        <w:rPr>
          <w:b/>
          <w:bCs/>
        </w:rPr>
      </w:pPr>
    </w:p>
    <w:p w:rsidR="00DF3ABB" w:rsidRPr="00500352" w:rsidRDefault="00DF3ABB" w:rsidP="00DF3ABB">
      <w:pPr>
        <w:pStyle w:val="Voettekst"/>
        <w:spacing w:line="360" w:lineRule="auto"/>
      </w:pPr>
      <w:r w:rsidRPr="00500352">
        <w:rPr>
          <w:bCs/>
        </w:rPr>
        <w:t>Inleverdatum: 29-06-2016</w:t>
      </w:r>
    </w:p>
    <w:p w:rsidR="00DF3ABB" w:rsidRPr="00500352" w:rsidRDefault="003746AF" w:rsidP="00DF3ABB">
      <w:pPr>
        <w:pStyle w:val="Voettekst"/>
        <w:spacing w:line="360" w:lineRule="auto"/>
      </w:pPr>
      <w:r>
        <w:rPr>
          <w:bCs/>
        </w:rPr>
        <w:t>Aantal woorden: 2345</w:t>
      </w:r>
      <w:bookmarkStart w:id="0" w:name="_GoBack"/>
      <w:bookmarkEnd w:id="0"/>
      <w:r w:rsidR="00DF3ABB" w:rsidRPr="00500352">
        <w:br w:type="page"/>
      </w:r>
    </w:p>
    <w:p w:rsidR="0058027C" w:rsidRPr="007E769B" w:rsidRDefault="0044729C" w:rsidP="000346B6">
      <w:pPr>
        <w:spacing w:line="360" w:lineRule="auto"/>
        <w:rPr>
          <w:b/>
          <w:szCs w:val="24"/>
        </w:rPr>
      </w:pPr>
      <w:r w:rsidRPr="007E769B">
        <w:rPr>
          <w:b/>
          <w:szCs w:val="24"/>
        </w:rPr>
        <w:t>De i</w:t>
      </w:r>
      <w:r w:rsidR="0058027C" w:rsidRPr="007E769B">
        <w:rPr>
          <w:b/>
          <w:szCs w:val="24"/>
        </w:rPr>
        <w:t xml:space="preserve">nvloed van verschillende liganden op de humane glucocorticoïdreceptor: </w:t>
      </w:r>
      <w:r w:rsidR="00CE1137" w:rsidRPr="007E769B">
        <w:rPr>
          <w:b/>
          <w:szCs w:val="24"/>
        </w:rPr>
        <w:t xml:space="preserve">frequente </w:t>
      </w:r>
      <w:r w:rsidRPr="007E769B">
        <w:rPr>
          <w:b/>
          <w:szCs w:val="24"/>
        </w:rPr>
        <w:t>volledige tran</w:t>
      </w:r>
      <w:r w:rsidR="00880E2F">
        <w:rPr>
          <w:b/>
          <w:szCs w:val="24"/>
        </w:rPr>
        <w:t xml:space="preserve">slocatie bij cortisol en </w:t>
      </w:r>
      <w:proofErr w:type="spellStart"/>
      <w:r w:rsidR="00880E2F">
        <w:rPr>
          <w:b/>
          <w:szCs w:val="24"/>
        </w:rPr>
        <w:t>mifepri</w:t>
      </w:r>
      <w:r w:rsidRPr="007E769B">
        <w:rPr>
          <w:b/>
          <w:szCs w:val="24"/>
        </w:rPr>
        <w:t>ston</w:t>
      </w:r>
      <w:proofErr w:type="spellEnd"/>
      <w:r w:rsidRPr="007E769B">
        <w:rPr>
          <w:b/>
          <w:szCs w:val="24"/>
        </w:rPr>
        <w:t xml:space="preserve">, matige </w:t>
      </w:r>
      <w:r w:rsidR="00CE1137" w:rsidRPr="007E769B">
        <w:rPr>
          <w:b/>
          <w:szCs w:val="24"/>
        </w:rPr>
        <w:t xml:space="preserve">volledige </w:t>
      </w:r>
      <w:r w:rsidRPr="007E769B">
        <w:rPr>
          <w:b/>
          <w:szCs w:val="24"/>
        </w:rPr>
        <w:t xml:space="preserve">translocatie bij corticosteron, en </w:t>
      </w:r>
      <w:r w:rsidR="00CE1137" w:rsidRPr="007E769B">
        <w:rPr>
          <w:b/>
          <w:szCs w:val="24"/>
        </w:rPr>
        <w:t>infrequente volledige</w:t>
      </w:r>
      <w:r w:rsidRPr="007E769B">
        <w:rPr>
          <w:b/>
          <w:szCs w:val="24"/>
        </w:rPr>
        <w:t xml:space="preserve"> translocatie bij 17AAG</w:t>
      </w:r>
    </w:p>
    <w:p w:rsidR="0058027C" w:rsidRPr="007E769B" w:rsidRDefault="0058027C" w:rsidP="000346B6">
      <w:pPr>
        <w:spacing w:line="360" w:lineRule="auto"/>
        <w:rPr>
          <w:b/>
          <w:sz w:val="22"/>
          <w:szCs w:val="22"/>
        </w:rPr>
      </w:pPr>
    </w:p>
    <w:p w:rsidR="007E769B" w:rsidRDefault="007E769B" w:rsidP="000346B6">
      <w:pPr>
        <w:spacing w:line="360" w:lineRule="auto"/>
        <w:rPr>
          <w:b/>
          <w:szCs w:val="24"/>
        </w:rPr>
      </w:pPr>
    </w:p>
    <w:p w:rsidR="0058027C" w:rsidRPr="007E769B" w:rsidRDefault="00016949" w:rsidP="000346B6">
      <w:pPr>
        <w:spacing w:line="360" w:lineRule="auto"/>
        <w:rPr>
          <w:b/>
          <w:szCs w:val="24"/>
        </w:rPr>
      </w:pPr>
      <w:r w:rsidRPr="007E769B">
        <w:rPr>
          <w:b/>
          <w:szCs w:val="24"/>
        </w:rPr>
        <w:t>Inleiding</w:t>
      </w:r>
    </w:p>
    <w:p w:rsidR="007E769B" w:rsidRDefault="007E769B" w:rsidP="000346B6">
      <w:pPr>
        <w:spacing w:line="360" w:lineRule="auto"/>
        <w:rPr>
          <w:sz w:val="22"/>
          <w:szCs w:val="22"/>
        </w:rPr>
      </w:pPr>
    </w:p>
    <w:p w:rsidR="00016949" w:rsidRPr="00602859" w:rsidRDefault="000346B6" w:rsidP="000346B6">
      <w:pPr>
        <w:spacing w:line="360" w:lineRule="auto"/>
        <w:rPr>
          <w:sz w:val="22"/>
          <w:szCs w:val="22"/>
          <w:highlight w:val="yellow"/>
        </w:rPr>
      </w:pPr>
      <w:r w:rsidRPr="00602859">
        <w:rPr>
          <w:sz w:val="22"/>
          <w:szCs w:val="22"/>
          <w:highlight w:val="yellow"/>
        </w:rPr>
        <w:t>De mens zal a</w:t>
      </w:r>
      <w:r w:rsidR="00077B17" w:rsidRPr="00602859">
        <w:rPr>
          <w:sz w:val="22"/>
          <w:szCs w:val="22"/>
          <w:highlight w:val="yellow"/>
        </w:rPr>
        <w:t>ltijd een beetje spanning ervaren</w:t>
      </w:r>
      <w:r w:rsidR="007C3DA2" w:rsidRPr="00602859">
        <w:rPr>
          <w:sz w:val="22"/>
          <w:szCs w:val="22"/>
          <w:highlight w:val="yellow"/>
        </w:rPr>
        <w:t xml:space="preserve">, dit is </w:t>
      </w:r>
      <w:r w:rsidRPr="00602859">
        <w:rPr>
          <w:sz w:val="22"/>
          <w:szCs w:val="22"/>
          <w:highlight w:val="yellow"/>
        </w:rPr>
        <w:t xml:space="preserve">aanwezig is om goed te kunnen functioneren, het zorgt er namelijk voor dat het lichaam klaar is voor actie. Maar wanneer er te </w:t>
      </w:r>
      <w:r w:rsidR="00016949" w:rsidRPr="00602859">
        <w:rPr>
          <w:sz w:val="22"/>
          <w:szCs w:val="22"/>
          <w:highlight w:val="yellow"/>
        </w:rPr>
        <w:t xml:space="preserve">veel spanning aanwezig is </w:t>
      </w:r>
      <w:r w:rsidRPr="00602859">
        <w:rPr>
          <w:sz w:val="22"/>
          <w:szCs w:val="22"/>
          <w:highlight w:val="yellow"/>
        </w:rPr>
        <w:t xml:space="preserve">leidt dit tot stress. Stress is zowel psychologisch als neurobiologisch waar te nemen. Op </w:t>
      </w:r>
      <w:r w:rsidR="000D0C1F" w:rsidRPr="00602859">
        <w:rPr>
          <w:sz w:val="22"/>
          <w:szCs w:val="22"/>
          <w:highlight w:val="yellow"/>
        </w:rPr>
        <w:t xml:space="preserve">hormonaal </w:t>
      </w:r>
      <w:r w:rsidRPr="00602859">
        <w:rPr>
          <w:sz w:val="22"/>
          <w:szCs w:val="22"/>
          <w:highlight w:val="yellow"/>
        </w:rPr>
        <w:t xml:space="preserve">niveau zien we een reactie van onder andere een verhoogde (nor)adrenaline en cortisol concentratie. (Nor)adrenaline </w:t>
      </w:r>
      <w:r w:rsidR="00E61039" w:rsidRPr="00602859">
        <w:rPr>
          <w:sz w:val="22"/>
          <w:szCs w:val="22"/>
          <w:highlight w:val="yellow"/>
        </w:rPr>
        <w:t>wordt als eerste afgegeven. Om het lichaam te laten herstellen en schade door te veel stress te voorkomen wordt cortisol afgegeven. Cortisol</w:t>
      </w:r>
      <w:r w:rsidRPr="00602859">
        <w:rPr>
          <w:sz w:val="22"/>
          <w:szCs w:val="22"/>
          <w:highlight w:val="yellow"/>
        </w:rPr>
        <w:t xml:space="preserve"> beschermt te</w:t>
      </w:r>
      <w:r w:rsidR="00E61039" w:rsidRPr="00602859">
        <w:rPr>
          <w:sz w:val="22"/>
          <w:szCs w:val="22"/>
          <w:highlight w:val="yellow"/>
        </w:rPr>
        <w:t>gen de initiële stressreactie maar</w:t>
      </w:r>
      <w:r w:rsidRPr="00602859">
        <w:rPr>
          <w:sz w:val="22"/>
          <w:szCs w:val="22"/>
          <w:highlight w:val="yellow"/>
        </w:rPr>
        <w:t xml:space="preserve"> helpt </w:t>
      </w:r>
      <w:r w:rsidR="00E61039" w:rsidRPr="00602859">
        <w:rPr>
          <w:sz w:val="22"/>
          <w:szCs w:val="22"/>
          <w:highlight w:val="yellow"/>
        </w:rPr>
        <w:t xml:space="preserve">o.a. ook bij leren en </w:t>
      </w:r>
      <w:r w:rsidRPr="00602859">
        <w:rPr>
          <w:sz w:val="22"/>
          <w:szCs w:val="22"/>
          <w:highlight w:val="yellow"/>
        </w:rPr>
        <w:t>geheugen</w:t>
      </w:r>
      <w:r w:rsidR="00E61039" w:rsidRPr="00602859">
        <w:rPr>
          <w:sz w:val="22"/>
          <w:szCs w:val="22"/>
          <w:highlight w:val="yellow"/>
        </w:rPr>
        <w:t xml:space="preserve"> en motivatie, en is daarom van essentieel belang voor de hersenen</w:t>
      </w:r>
      <w:r w:rsidRPr="00602859">
        <w:rPr>
          <w:sz w:val="22"/>
          <w:szCs w:val="22"/>
          <w:highlight w:val="yellow"/>
        </w:rPr>
        <w:t xml:space="preserve"> (Kloet e.a. 2008). </w:t>
      </w:r>
    </w:p>
    <w:p w:rsidR="00016949" w:rsidRPr="00602859" w:rsidRDefault="00E61039" w:rsidP="003510A2">
      <w:pPr>
        <w:spacing w:line="360" w:lineRule="auto"/>
        <w:ind w:firstLine="708"/>
        <w:rPr>
          <w:sz w:val="22"/>
          <w:szCs w:val="22"/>
          <w:highlight w:val="green"/>
        </w:rPr>
      </w:pPr>
      <w:r w:rsidRPr="00602859">
        <w:rPr>
          <w:sz w:val="22"/>
          <w:szCs w:val="22"/>
          <w:highlight w:val="yellow"/>
        </w:rPr>
        <w:t xml:space="preserve">Cortisol bindt </w:t>
      </w:r>
      <w:r w:rsidR="000346B6" w:rsidRPr="00602859">
        <w:rPr>
          <w:sz w:val="22"/>
          <w:szCs w:val="22"/>
          <w:highlight w:val="yellow"/>
        </w:rPr>
        <w:t>aan twee typen receptoren: mineralocorticoïderec</w:t>
      </w:r>
      <w:r w:rsidR="003510A2" w:rsidRPr="00602859">
        <w:rPr>
          <w:sz w:val="22"/>
          <w:szCs w:val="22"/>
          <w:highlight w:val="yellow"/>
        </w:rPr>
        <w:t>eptoren (MR) en glucocorticoïde</w:t>
      </w:r>
      <w:r w:rsidR="00B45D07" w:rsidRPr="00602859">
        <w:rPr>
          <w:sz w:val="22"/>
          <w:szCs w:val="22"/>
          <w:highlight w:val="yellow"/>
        </w:rPr>
        <w:t xml:space="preserve">receptoren (GR) </w:t>
      </w:r>
      <w:r w:rsidR="000346B6" w:rsidRPr="00602859">
        <w:rPr>
          <w:sz w:val="22"/>
          <w:szCs w:val="22"/>
          <w:highlight w:val="yellow"/>
        </w:rPr>
        <w:t>(De Kloet</w:t>
      </w:r>
      <w:r w:rsidR="000D0C1F" w:rsidRPr="00602859">
        <w:rPr>
          <w:sz w:val="22"/>
          <w:szCs w:val="22"/>
          <w:highlight w:val="yellow"/>
        </w:rPr>
        <w:t xml:space="preserve"> e.a. 2005). De MR initiëren de</w:t>
      </w:r>
      <w:r w:rsidR="000346B6" w:rsidRPr="00602859">
        <w:rPr>
          <w:sz w:val="22"/>
          <w:szCs w:val="22"/>
          <w:highlight w:val="yellow"/>
        </w:rPr>
        <w:t xml:space="preserve"> str</w:t>
      </w:r>
      <w:r w:rsidR="000D0C1F" w:rsidRPr="00602859">
        <w:rPr>
          <w:sz w:val="22"/>
          <w:szCs w:val="22"/>
          <w:highlight w:val="yellow"/>
        </w:rPr>
        <w:t>essreactie. De GR is van belang bij het voorkomen van schade door de stressreactie</w:t>
      </w:r>
      <w:r w:rsidR="000346B6" w:rsidRPr="007E769B">
        <w:rPr>
          <w:sz w:val="22"/>
          <w:szCs w:val="22"/>
        </w:rPr>
        <w:t xml:space="preserve">. </w:t>
      </w:r>
      <w:r w:rsidR="003510A2" w:rsidRPr="007E769B">
        <w:rPr>
          <w:sz w:val="22"/>
          <w:szCs w:val="22"/>
        </w:rPr>
        <w:t xml:space="preserve">Wanneer het ligand cortisol bindt aan de GR kan deze dienen als transcriptiefactor, er vindt translocatie plaats naar de nucleus en binding aan de </w:t>
      </w:r>
      <w:proofErr w:type="spellStart"/>
      <w:r w:rsidR="003510A2" w:rsidRPr="007E769B">
        <w:rPr>
          <w:sz w:val="22"/>
          <w:szCs w:val="22"/>
        </w:rPr>
        <w:t>glucocorticoïde-responsieve</w:t>
      </w:r>
      <w:proofErr w:type="spellEnd"/>
      <w:r w:rsidR="003510A2" w:rsidRPr="007E769B">
        <w:rPr>
          <w:sz w:val="22"/>
          <w:szCs w:val="22"/>
        </w:rPr>
        <w:t xml:space="preserve"> elementen (GREs). Als gevolg hiervan kan de genexpressie worden beïnvloed. </w:t>
      </w:r>
      <w:r w:rsidR="000346B6" w:rsidRPr="00602859">
        <w:rPr>
          <w:sz w:val="22"/>
          <w:szCs w:val="22"/>
          <w:highlight w:val="green"/>
        </w:rPr>
        <w:t xml:space="preserve">De MR en de GR zijn </w:t>
      </w:r>
      <w:r w:rsidR="000D0C1F" w:rsidRPr="00602859">
        <w:rPr>
          <w:sz w:val="22"/>
          <w:szCs w:val="22"/>
          <w:highlight w:val="green"/>
        </w:rPr>
        <w:t>voornamelijk gesitueerd in</w:t>
      </w:r>
      <w:r w:rsidR="00B45D07" w:rsidRPr="00602859">
        <w:rPr>
          <w:sz w:val="22"/>
          <w:szCs w:val="22"/>
          <w:highlight w:val="green"/>
        </w:rPr>
        <w:t xml:space="preserve"> het limbisch systeem</w:t>
      </w:r>
      <w:r w:rsidR="000D0C1F" w:rsidRPr="00602859">
        <w:rPr>
          <w:sz w:val="22"/>
          <w:szCs w:val="22"/>
          <w:highlight w:val="green"/>
        </w:rPr>
        <w:t xml:space="preserve">. </w:t>
      </w:r>
      <w:r w:rsidR="00F3791A" w:rsidRPr="00602859">
        <w:rPr>
          <w:sz w:val="22"/>
          <w:szCs w:val="22"/>
          <w:highlight w:val="green"/>
        </w:rPr>
        <w:t>Pulsen (n</w:t>
      </w:r>
      <w:r w:rsidR="000D0C1F" w:rsidRPr="00602859">
        <w:rPr>
          <w:sz w:val="22"/>
          <w:szCs w:val="22"/>
          <w:highlight w:val="green"/>
        </w:rPr>
        <w:t xml:space="preserve">or)adrenaline en cortisol worden hier een keer </w:t>
      </w:r>
      <w:r w:rsidR="000346B6" w:rsidRPr="00602859">
        <w:rPr>
          <w:sz w:val="22"/>
          <w:szCs w:val="22"/>
          <w:highlight w:val="green"/>
        </w:rPr>
        <w:t>per uur afgegeven</w:t>
      </w:r>
      <w:r w:rsidR="000D0C1F" w:rsidRPr="00602859">
        <w:rPr>
          <w:sz w:val="22"/>
          <w:szCs w:val="22"/>
          <w:highlight w:val="green"/>
        </w:rPr>
        <w:t>, gecontroleerd door het biologisch systeem</w:t>
      </w:r>
      <w:r w:rsidR="000346B6" w:rsidRPr="00602859">
        <w:rPr>
          <w:sz w:val="22"/>
          <w:szCs w:val="22"/>
          <w:highlight w:val="green"/>
        </w:rPr>
        <w:t>. De MR bindt met een veel hog</w:t>
      </w:r>
      <w:r w:rsidR="000D0C1F" w:rsidRPr="00602859">
        <w:rPr>
          <w:sz w:val="22"/>
          <w:szCs w:val="22"/>
          <w:highlight w:val="green"/>
        </w:rPr>
        <w:t>ere affiniteit cortisol dan de GR, met het gevolg dat</w:t>
      </w:r>
      <w:r w:rsidR="000346B6" w:rsidRPr="00602859">
        <w:rPr>
          <w:sz w:val="22"/>
          <w:szCs w:val="22"/>
          <w:highlight w:val="green"/>
        </w:rPr>
        <w:t xml:space="preserve"> </w:t>
      </w:r>
      <w:r w:rsidR="000D0C1F" w:rsidRPr="00602859">
        <w:rPr>
          <w:sz w:val="22"/>
          <w:szCs w:val="22"/>
          <w:highlight w:val="green"/>
        </w:rPr>
        <w:t xml:space="preserve">de MR </w:t>
      </w:r>
      <w:r w:rsidR="000346B6" w:rsidRPr="00602859">
        <w:rPr>
          <w:sz w:val="22"/>
          <w:szCs w:val="22"/>
          <w:highlight w:val="green"/>
        </w:rPr>
        <w:t xml:space="preserve">bijna altijd bezet </w:t>
      </w:r>
      <w:r w:rsidR="000D0C1F" w:rsidRPr="00602859">
        <w:rPr>
          <w:sz w:val="22"/>
          <w:szCs w:val="22"/>
          <w:highlight w:val="green"/>
        </w:rPr>
        <w:t xml:space="preserve">zijn </w:t>
      </w:r>
      <w:r w:rsidR="00F3791A" w:rsidRPr="00602859">
        <w:rPr>
          <w:sz w:val="22"/>
          <w:szCs w:val="22"/>
          <w:highlight w:val="green"/>
        </w:rPr>
        <w:t xml:space="preserve">en cortisol </w:t>
      </w:r>
      <w:r w:rsidR="000346B6" w:rsidRPr="00602859">
        <w:rPr>
          <w:sz w:val="22"/>
          <w:szCs w:val="22"/>
          <w:highlight w:val="green"/>
        </w:rPr>
        <w:t>aan het DNA gebonden</w:t>
      </w:r>
      <w:r w:rsidR="00F3791A" w:rsidRPr="00602859">
        <w:rPr>
          <w:sz w:val="22"/>
          <w:szCs w:val="22"/>
          <w:highlight w:val="green"/>
        </w:rPr>
        <w:t xml:space="preserve"> blijft. Naast </w:t>
      </w:r>
      <w:r w:rsidR="000346B6" w:rsidRPr="00602859">
        <w:rPr>
          <w:sz w:val="22"/>
          <w:szCs w:val="22"/>
          <w:highlight w:val="green"/>
        </w:rPr>
        <w:t>pulsen kunnen er ook pieken hormonen afgegeven worden wanneer zich er een stress</w:t>
      </w:r>
      <w:r w:rsidR="00F3791A" w:rsidRPr="00602859">
        <w:rPr>
          <w:sz w:val="22"/>
          <w:szCs w:val="22"/>
          <w:highlight w:val="green"/>
        </w:rPr>
        <w:t>situatie voordoet bij het individu</w:t>
      </w:r>
      <w:r w:rsidR="000346B6" w:rsidRPr="00602859">
        <w:rPr>
          <w:sz w:val="22"/>
          <w:szCs w:val="22"/>
          <w:highlight w:val="green"/>
        </w:rPr>
        <w:t xml:space="preserve">. </w:t>
      </w:r>
      <w:r w:rsidR="00F3791A" w:rsidRPr="00602859">
        <w:rPr>
          <w:sz w:val="22"/>
          <w:szCs w:val="22"/>
          <w:highlight w:val="green"/>
        </w:rPr>
        <w:t>Een juiste hoeveelheid van de pulsen en pieken en daarmee juiste balans van hormonen is essentieel</w:t>
      </w:r>
      <w:r w:rsidR="000346B6" w:rsidRPr="00602859">
        <w:rPr>
          <w:sz w:val="22"/>
          <w:szCs w:val="22"/>
          <w:highlight w:val="green"/>
        </w:rPr>
        <w:t xml:space="preserve">. </w:t>
      </w:r>
    </w:p>
    <w:p w:rsidR="00767447" w:rsidRPr="007E769B" w:rsidRDefault="000346B6" w:rsidP="00016949">
      <w:pPr>
        <w:spacing w:line="360" w:lineRule="auto"/>
        <w:ind w:firstLine="708"/>
        <w:rPr>
          <w:sz w:val="22"/>
          <w:szCs w:val="22"/>
        </w:rPr>
      </w:pPr>
      <w:r w:rsidRPr="00602859">
        <w:rPr>
          <w:sz w:val="22"/>
          <w:szCs w:val="22"/>
          <w:highlight w:val="green"/>
        </w:rPr>
        <w:t xml:space="preserve">Een tekort of teveel aan </w:t>
      </w:r>
      <w:r w:rsidR="00F3791A" w:rsidRPr="00602859">
        <w:rPr>
          <w:sz w:val="22"/>
          <w:szCs w:val="22"/>
          <w:highlight w:val="green"/>
        </w:rPr>
        <w:t>stresshormonen</w:t>
      </w:r>
      <w:r w:rsidRPr="00602859">
        <w:rPr>
          <w:sz w:val="22"/>
          <w:szCs w:val="22"/>
          <w:highlight w:val="green"/>
        </w:rPr>
        <w:t xml:space="preserve"> kan de oorzaak zijn v</w:t>
      </w:r>
      <w:r w:rsidR="00F3791A" w:rsidRPr="00602859">
        <w:rPr>
          <w:sz w:val="22"/>
          <w:szCs w:val="22"/>
          <w:highlight w:val="green"/>
        </w:rPr>
        <w:t xml:space="preserve">an een psychiatrisch ziektebeeld. </w:t>
      </w:r>
      <w:r w:rsidR="00ED4543" w:rsidRPr="00602859">
        <w:rPr>
          <w:sz w:val="22"/>
          <w:szCs w:val="22"/>
          <w:highlight w:val="green"/>
        </w:rPr>
        <w:t xml:space="preserve">Neem </w:t>
      </w:r>
      <w:r w:rsidR="00316ED3" w:rsidRPr="00602859">
        <w:rPr>
          <w:sz w:val="22"/>
          <w:szCs w:val="22"/>
          <w:highlight w:val="green"/>
        </w:rPr>
        <w:t xml:space="preserve">bijvoorbeeld agressief gedrag, onderzoek </w:t>
      </w:r>
      <w:r w:rsidR="00ED4543" w:rsidRPr="00602859">
        <w:rPr>
          <w:sz w:val="22"/>
          <w:szCs w:val="22"/>
          <w:highlight w:val="green"/>
        </w:rPr>
        <w:t>heeft aangetoond dat</w:t>
      </w:r>
      <w:r w:rsidRPr="00602859">
        <w:rPr>
          <w:sz w:val="22"/>
          <w:szCs w:val="22"/>
          <w:highlight w:val="green"/>
        </w:rPr>
        <w:t xml:space="preserve"> de positieve terugkoppeling van corticosteronafgifte zichzelf steeds beïnvloedt, wat uiteindelijk leidt tot een </w:t>
      </w:r>
      <w:r w:rsidR="00ED4543" w:rsidRPr="00602859">
        <w:rPr>
          <w:sz w:val="22"/>
          <w:szCs w:val="22"/>
          <w:highlight w:val="green"/>
        </w:rPr>
        <w:t>uitspatting van agressiviteit</w:t>
      </w:r>
      <w:r w:rsidRPr="00602859">
        <w:rPr>
          <w:sz w:val="22"/>
          <w:szCs w:val="22"/>
          <w:highlight w:val="green"/>
        </w:rPr>
        <w:t xml:space="preserve"> (</w:t>
      </w:r>
      <w:proofErr w:type="spellStart"/>
      <w:r w:rsidRPr="00602859">
        <w:rPr>
          <w:sz w:val="22"/>
          <w:szCs w:val="22"/>
          <w:highlight w:val="green"/>
        </w:rPr>
        <w:t>Haller</w:t>
      </w:r>
      <w:proofErr w:type="spellEnd"/>
      <w:r w:rsidRPr="00602859">
        <w:rPr>
          <w:sz w:val="22"/>
          <w:szCs w:val="22"/>
          <w:highlight w:val="green"/>
        </w:rPr>
        <w:t xml:space="preserve"> &amp; Kruk, 2006).</w:t>
      </w:r>
      <w:r w:rsidRPr="007E769B">
        <w:rPr>
          <w:sz w:val="22"/>
          <w:szCs w:val="22"/>
        </w:rPr>
        <w:t xml:space="preserve"> </w:t>
      </w:r>
    </w:p>
    <w:p w:rsidR="009923A0" w:rsidRPr="007E769B" w:rsidRDefault="00363DDC" w:rsidP="00016949">
      <w:pPr>
        <w:spacing w:line="360" w:lineRule="auto"/>
        <w:ind w:firstLine="708"/>
        <w:rPr>
          <w:sz w:val="22"/>
          <w:szCs w:val="22"/>
        </w:rPr>
      </w:pPr>
      <w:r w:rsidRPr="00602859">
        <w:rPr>
          <w:color w:val="FFFFFF" w:themeColor="background1"/>
          <w:sz w:val="22"/>
          <w:szCs w:val="22"/>
          <w:highlight w:val="blue"/>
        </w:rPr>
        <w:t xml:space="preserve">Het </w:t>
      </w:r>
      <w:r w:rsidR="00077B17" w:rsidRPr="00602859">
        <w:rPr>
          <w:color w:val="FFFFFF" w:themeColor="background1"/>
          <w:sz w:val="22"/>
          <w:szCs w:val="22"/>
          <w:highlight w:val="blue"/>
        </w:rPr>
        <w:t>humane hormoon cortisol</w:t>
      </w:r>
      <w:r w:rsidR="00767447" w:rsidRPr="00602859">
        <w:rPr>
          <w:color w:val="FFFFFF" w:themeColor="background1"/>
          <w:sz w:val="22"/>
          <w:szCs w:val="22"/>
          <w:highlight w:val="blue"/>
        </w:rPr>
        <w:t xml:space="preserve"> </w:t>
      </w:r>
      <w:r w:rsidRPr="00602859">
        <w:rPr>
          <w:color w:val="FFFFFF" w:themeColor="background1"/>
          <w:sz w:val="22"/>
          <w:szCs w:val="22"/>
          <w:highlight w:val="blue"/>
        </w:rPr>
        <w:t xml:space="preserve">en het rattenhormoon corticosteron </w:t>
      </w:r>
      <w:r w:rsidR="00767447" w:rsidRPr="00602859">
        <w:rPr>
          <w:color w:val="FFFFFF" w:themeColor="background1"/>
          <w:sz w:val="22"/>
          <w:szCs w:val="22"/>
          <w:highlight w:val="blue"/>
        </w:rPr>
        <w:t>zijn homoloog en hebben dezelfde functie binnen het eigen organisme. Zoals eerder genoemd beschermt cortisol, en respectievelijk corticosteron, tegen de stressreactie. Verhoogde glucocorticoïdconcentraties kunnen namelijk leiden tot hersenbeschadiging, cognitieve aftakeling en grotere kans op psychiatrische stoornissen.</w:t>
      </w:r>
      <w:r w:rsidRPr="007E769B">
        <w:rPr>
          <w:sz w:val="22"/>
          <w:szCs w:val="22"/>
        </w:rPr>
        <w:t xml:space="preserve"> </w:t>
      </w:r>
      <w:r w:rsidR="009923A0" w:rsidRPr="007E769B">
        <w:rPr>
          <w:sz w:val="22"/>
          <w:szCs w:val="22"/>
        </w:rPr>
        <w:t>Het is no</w:t>
      </w:r>
      <w:r w:rsidR="006D3721" w:rsidRPr="007E769B">
        <w:rPr>
          <w:sz w:val="22"/>
          <w:szCs w:val="22"/>
        </w:rPr>
        <w:t xml:space="preserve">g onduidelijk wat de werking </w:t>
      </w:r>
      <w:r w:rsidR="009923A0" w:rsidRPr="007E769B">
        <w:rPr>
          <w:sz w:val="22"/>
          <w:szCs w:val="22"/>
        </w:rPr>
        <w:t xml:space="preserve">van het rattenstresshormoon corticosteron </w:t>
      </w:r>
      <w:r w:rsidR="00BE084B" w:rsidRPr="007E769B">
        <w:rPr>
          <w:sz w:val="22"/>
          <w:szCs w:val="22"/>
        </w:rPr>
        <w:t xml:space="preserve">is </w:t>
      </w:r>
      <w:r w:rsidR="009923A0" w:rsidRPr="007E769B">
        <w:rPr>
          <w:sz w:val="22"/>
          <w:szCs w:val="22"/>
        </w:rPr>
        <w:t xml:space="preserve">in humane cellen. </w:t>
      </w:r>
    </w:p>
    <w:p w:rsidR="00ED4543" w:rsidRPr="007E769B" w:rsidRDefault="00363DDC" w:rsidP="00016949">
      <w:pPr>
        <w:spacing w:line="360" w:lineRule="auto"/>
        <w:rPr>
          <w:sz w:val="22"/>
          <w:szCs w:val="22"/>
        </w:rPr>
      </w:pPr>
      <w:r w:rsidRPr="007E769B">
        <w:rPr>
          <w:sz w:val="22"/>
          <w:szCs w:val="22"/>
        </w:rPr>
        <w:t>Men is in de neurobiologie ook bekend met verschillende antagonisten die als ligand voor de GR kunnen functioneren</w:t>
      </w:r>
      <w:r w:rsidR="0058027C" w:rsidRPr="007E769B">
        <w:rPr>
          <w:sz w:val="22"/>
          <w:szCs w:val="22"/>
        </w:rPr>
        <w:t>, en juist een omgekeerde reactie teweegbrengen dan agonisten zoals cortisol</w:t>
      </w:r>
      <w:r w:rsidRPr="007E769B">
        <w:rPr>
          <w:sz w:val="22"/>
          <w:szCs w:val="22"/>
        </w:rPr>
        <w:t xml:space="preserve">. Voorbeelden </w:t>
      </w:r>
      <w:r w:rsidR="0058027C" w:rsidRPr="007E769B">
        <w:rPr>
          <w:sz w:val="22"/>
          <w:szCs w:val="22"/>
        </w:rPr>
        <w:t xml:space="preserve">hiervan zijn </w:t>
      </w:r>
      <w:r w:rsidR="00CE1137" w:rsidRPr="007E769B">
        <w:rPr>
          <w:sz w:val="22"/>
          <w:szCs w:val="22"/>
        </w:rPr>
        <w:t xml:space="preserve">de antagonisten </w:t>
      </w:r>
      <w:proofErr w:type="spellStart"/>
      <w:r w:rsidR="0058027C" w:rsidRPr="007E769B">
        <w:rPr>
          <w:sz w:val="22"/>
          <w:szCs w:val="22"/>
        </w:rPr>
        <w:t>mifepreston</w:t>
      </w:r>
      <w:proofErr w:type="spellEnd"/>
      <w:r w:rsidR="0058027C" w:rsidRPr="007E769B">
        <w:rPr>
          <w:sz w:val="22"/>
          <w:szCs w:val="22"/>
        </w:rPr>
        <w:t xml:space="preserve"> en 17AAG</w:t>
      </w:r>
      <w:r w:rsidR="00CE1137" w:rsidRPr="007E769B">
        <w:rPr>
          <w:sz w:val="22"/>
          <w:szCs w:val="22"/>
        </w:rPr>
        <w:t xml:space="preserve">. Het is nog onduidelijk </w:t>
      </w:r>
      <w:r w:rsidR="009923A0" w:rsidRPr="007E769B">
        <w:rPr>
          <w:sz w:val="22"/>
          <w:szCs w:val="22"/>
        </w:rPr>
        <w:t>op welk moment in het proces de antagonistische werking effect heeft.</w:t>
      </w:r>
    </w:p>
    <w:p w:rsidR="00F43A38" w:rsidRPr="007E769B" w:rsidRDefault="009923A0" w:rsidP="00016949">
      <w:pPr>
        <w:spacing w:line="360" w:lineRule="auto"/>
        <w:ind w:firstLine="708"/>
        <w:rPr>
          <w:sz w:val="22"/>
          <w:szCs w:val="22"/>
        </w:rPr>
      </w:pPr>
      <w:r w:rsidRPr="007E769B">
        <w:rPr>
          <w:sz w:val="22"/>
          <w:szCs w:val="22"/>
        </w:rPr>
        <w:t xml:space="preserve">Onderzoek naar deze liganden kan de kennis van de werking van de deze liganden versterken. Daarnaast is de kennis nuttig voor verder onderzoek naar een of meerdere van deze liganden en daarmee van belang voor de neurobiologische, medische en psychiatrische vakgebieden. </w:t>
      </w:r>
    </w:p>
    <w:p w:rsidR="009923A0" w:rsidRPr="007E769B" w:rsidRDefault="00016949" w:rsidP="00016949">
      <w:pPr>
        <w:spacing w:line="360" w:lineRule="auto"/>
        <w:ind w:firstLine="708"/>
        <w:rPr>
          <w:sz w:val="22"/>
          <w:szCs w:val="22"/>
        </w:rPr>
      </w:pPr>
      <w:r w:rsidRPr="007E769B">
        <w:rPr>
          <w:sz w:val="22"/>
          <w:szCs w:val="22"/>
        </w:rPr>
        <w:t xml:space="preserve">Om de uitkomsten van het onderzoek iets te kunnen laten zeggen over de verschillende GR-liganden is het een vereiste dat </w:t>
      </w:r>
      <w:r w:rsidR="00D849C9" w:rsidRPr="007E769B">
        <w:rPr>
          <w:sz w:val="22"/>
          <w:szCs w:val="22"/>
        </w:rPr>
        <w:t xml:space="preserve">de methode robuust genoeg is. </w:t>
      </w:r>
      <w:r w:rsidR="00F43A38" w:rsidRPr="00602859">
        <w:rPr>
          <w:color w:val="FFFFFF" w:themeColor="background1"/>
          <w:sz w:val="22"/>
          <w:szCs w:val="22"/>
          <w:highlight w:val="red"/>
        </w:rPr>
        <w:t xml:space="preserve">Uit eerder onderzoek met oestrogeen en bijbehorende receptoren bleek dat het kwantificeren van oestrogeen-geïnduceerde nucleaire </w:t>
      </w:r>
      <w:r w:rsidR="00431649" w:rsidRPr="00602859">
        <w:rPr>
          <w:color w:val="FFFFFF" w:themeColor="background1"/>
          <w:sz w:val="22"/>
          <w:szCs w:val="22"/>
          <w:highlight w:val="red"/>
        </w:rPr>
        <w:t xml:space="preserve">translocatie van de GR </w:t>
      </w:r>
      <w:r w:rsidR="00F43A38" w:rsidRPr="00602859">
        <w:rPr>
          <w:color w:val="FFFFFF" w:themeColor="background1"/>
          <w:sz w:val="22"/>
          <w:szCs w:val="22"/>
          <w:highlight w:val="red"/>
        </w:rPr>
        <w:t xml:space="preserve">een zeer robuuste methode is voor het screenen van dit ligand, met Z- waardes groter dan 0.7 en </w:t>
      </w:r>
      <w:proofErr w:type="spellStart"/>
      <w:r w:rsidR="00F43A38" w:rsidRPr="00602859">
        <w:rPr>
          <w:color w:val="FFFFFF" w:themeColor="background1"/>
          <w:sz w:val="22"/>
          <w:szCs w:val="22"/>
          <w:highlight w:val="red"/>
        </w:rPr>
        <w:t>coefficients</w:t>
      </w:r>
      <w:proofErr w:type="spellEnd"/>
      <w:r w:rsidR="00F43A38" w:rsidRPr="00602859">
        <w:rPr>
          <w:color w:val="FFFFFF" w:themeColor="background1"/>
          <w:sz w:val="22"/>
          <w:szCs w:val="22"/>
          <w:highlight w:val="red"/>
        </w:rPr>
        <w:t xml:space="preserve"> of </w:t>
      </w:r>
      <w:proofErr w:type="spellStart"/>
      <w:r w:rsidR="00F43A38" w:rsidRPr="00602859">
        <w:rPr>
          <w:color w:val="FFFFFF" w:themeColor="background1"/>
          <w:sz w:val="22"/>
          <w:szCs w:val="22"/>
          <w:highlight w:val="red"/>
        </w:rPr>
        <w:t>variation</w:t>
      </w:r>
      <w:proofErr w:type="spellEnd"/>
      <w:r w:rsidR="00F43A38" w:rsidRPr="00602859">
        <w:rPr>
          <w:color w:val="FFFFFF" w:themeColor="background1"/>
          <w:sz w:val="22"/>
          <w:szCs w:val="22"/>
          <w:highlight w:val="red"/>
        </w:rPr>
        <w:t xml:space="preserve"> (CV) kleiner dan 5% (</w:t>
      </w:r>
      <w:proofErr w:type="spellStart"/>
      <w:r w:rsidR="00F43A38" w:rsidRPr="00602859">
        <w:rPr>
          <w:color w:val="FFFFFF" w:themeColor="background1"/>
          <w:sz w:val="22"/>
          <w:szCs w:val="22"/>
          <w:highlight w:val="red"/>
        </w:rPr>
        <w:t>Dull</w:t>
      </w:r>
      <w:proofErr w:type="spellEnd"/>
      <w:r w:rsidR="00F43A38" w:rsidRPr="00602859">
        <w:rPr>
          <w:color w:val="FFFFFF" w:themeColor="background1"/>
          <w:sz w:val="22"/>
          <w:szCs w:val="22"/>
          <w:highlight w:val="red"/>
        </w:rPr>
        <w:t xml:space="preserve"> et al. 2013).</w:t>
      </w:r>
    </w:p>
    <w:p w:rsidR="009923A0" w:rsidRPr="007E769B" w:rsidRDefault="00B45D07" w:rsidP="00431649">
      <w:pPr>
        <w:spacing w:line="360" w:lineRule="auto"/>
        <w:ind w:firstLine="708"/>
        <w:rPr>
          <w:sz w:val="22"/>
          <w:szCs w:val="22"/>
        </w:rPr>
      </w:pPr>
      <w:r w:rsidRPr="007E769B">
        <w:rPr>
          <w:sz w:val="22"/>
          <w:szCs w:val="22"/>
        </w:rPr>
        <w:t xml:space="preserve">In dit onderzoek wordt er gekeken naar de translocatie van de GR </w:t>
      </w:r>
      <w:r w:rsidR="00BE084B" w:rsidRPr="007E769B">
        <w:rPr>
          <w:sz w:val="22"/>
          <w:szCs w:val="22"/>
        </w:rPr>
        <w:t xml:space="preserve">van het cytoplasma </w:t>
      </w:r>
      <w:r w:rsidRPr="007E769B">
        <w:rPr>
          <w:sz w:val="22"/>
          <w:szCs w:val="22"/>
        </w:rPr>
        <w:t xml:space="preserve">naar de nucleus (immers vindt genexpressie plaats in de nucleus) en het onderzoek </w:t>
      </w:r>
      <w:r w:rsidR="009923A0" w:rsidRPr="007E769B">
        <w:rPr>
          <w:sz w:val="22"/>
          <w:szCs w:val="22"/>
        </w:rPr>
        <w:t>verloopt aan de hand van de volgende onderzoeksvragen:</w:t>
      </w:r>
    </w:p>
    <w:p w:rsidR="00431649" w:rsidRPr="00602859" w:rsidRDefault="00431649" w:rsidP="00B55DED">
      <w:pPr>
        <w:pStyle w:val="Lijstalinea"/>
        <w:numPr>
          <w:ilvl w:val="0"/>
          <w:numId w:val="2"/>
        </w:numPr>
        <w:spacing w:line="360" w:lineRule="auto"/>
        <w:rPr>
          <w:sz w:val="22"/>
          <w:szCs w:val="22"/>
          <w:highlight w:val="green"/>
        </w:rPr>
      </w:pPr>
      <w:r w:rsidRPr="00602859">
        <w:rPr>
          <w:sz w:val="22"/>
          <w:szCs w:val="22"/>
          <w:highlight w:val="green"/>
        </w:rPr>
        <w:t xml:space="preserve">Wat is de invloed van de verschillende liganden corticosteron, </w:t>
      </w:r>
      <w:proofErr w:type="spellStart"/>
      <w:r w:rsidRPr="00602859">
        <w:rPr>
          <w:sz w:val="22"/>
          <w:szCs w:val="22"/>
          <w:highlight w:val="green"/>
        </w:rPr>
        <w:t>mifepreston</w:t>
      </w:r>
      <w:proofErr w:type="spellEnd"/>
      <w:r w:rsidRPr="00602859">
        <w:rPr>
          <w:sz w:val="22"/>
          <w:szCs w:val="22"/>
          <w:highlight w:val="green"/>
        </w:rPr>
        <w:t xml:space="preserve"> en 17AAG op de GR-translocatie? </w:t>
      </w:r>
    </w:p>
    <w:p w:rsidR="00431649" w:rsidRPr="00602859" w:rsidRDefault="00431649" w:rsidP="00B55DED">
      <w:pPr>
        <w:pStyle w:val="Lijstalinea"/>
        <w:numPr>
          <w:ilvl w:val="0"/>
          <w:numId w:val="2"/>
        </w:numPr>
        <w:spacing w:line="360" w:lineRule="auto"/>
        <w:rPr>
          <w:sz w:val="22"/>
          <w:szCs w:val="22"/>
          <w:highlight w:val="green"/>
        </w:rPr>
      </w:pPr>
      <w:r w:rsidRPr="00602859">
        <w:rPr>
          <w:sz w:val="22"/>
          <w:szCs w:val="22"/>
          <w:highlight w:val="green"/>
        </w:rPr>
        <w:t>Is het kwantificeren van ligand-geïnduceerde nucleaire translocatie van de GR-receptor een robuuste methode voor het screenen van GR-liganden?</w:t>
      </w:r>
    </w:p>
    <w:p w:rsidR="00B55DED" w:rsidRPr="007E769B" w:rsidRDefault="00431649" w:rsidP="000A2D79">
      <w:pPr>
        <w:spacing w:line="360" w:lineRule="auto"/>
        <w:rPr>
          <w:sz w:val="22"/>
          <w:szCs w:val="22"/>
        </w:rPr>
      </w:pPr>
      <w:r w:rsidRPr="00602859">
        <w:rPr>
          <w:sz w:val="22"/>
          <w:szCs w:val="22"/>
          <w:highlight w:val="green"/>
        </w:rPr>
        <w:t>Het onderzoek is verdeeld in drie experimentele condities. Bij het eerste</w:t>
      </w:r>
      <w:r w:rsidR="00B55DED" w:rsidRPr="00602859">
        <w:rPr>
          <w:sz w:val="22"/>
          <w:szCs w:val="22"/>
          <w:highlight w:val="green"/>
        </w:rPr>
        <w:t xml:space="preserve"> experiment is het rattenstresshormoon corticosteron toegevoegd aan humane cellen met de </w:t>
      </w:r>
      <w:proofErr w:type="spellStart"/>
      <w:r w:rsidR="00B55DED" w:rsidRPr="00602859">
        <w:rPr>
          <w:sz w:val="22"/>
          <w:szCs w:val="22"/>
          <w:highlight w:val="green"/>
        </w:rPr>
        <w:t>hGR</w:t>
      </w:r>
      <w:proofErr w:type="spellEnd"/>
      <w:r w:rsidR="00B55DED" w:rsidRPr="00602859">
        <w:rPr>
          <w:sz w:val="22"/>
          <w:szCs w:val="22"/>
          <w:highlight w:val="green"/>
        </w:rPr>
        <w:t xml:space="preserve">, bij het tweede experiment de antagonist </w:t>
      </w:r>
      <w:proofErr w:type="spellStart"/>
      <w:r w:rsidR="00B55DED" w:rsidRPr="00602859">
        <w:rPr>
          <w:sz w:val="22"/>
          <w:szCs w:val="22"/>
          <w:highlight w:val="green"/>
        </w:rPr>
        <w:t>mifepreston</w:t>
      </w:r>
      <w:proofErr w:type="spellEnd"/>
      <w:r w:rsidR="00B55DED" w:rsidRPr="00602859">
        <w:rPr>
          <w:sz w:val="22"/>
          <w:szCs w:val="22"/>
          <w:highlight w:val="green"/>
        </w:rPr>
        <w:t xml:space="preserve"> en bij het derde experiment de antagonist 17AAG. Verder waren er twee controle experimenten, de positieve controle waarbij er cortisol werd toegevoegd en de negatieve controle waarbij er slechts water werd toegevoegd.</w:t>
      </w:r>
      <w:r w:rsidR="00B55DED" w:rsidRPr="007E769B">
        <w:rPr>
          <w:sz w:val="22"/>
          <w:szCs w:val="22"/>
        </w:rPr>
        <w:t xml:space="preserve"> </w:t>
      </w:r>
    </w:p>
    <w:p w:rsidR="005845A6" w:rsidRPr="007E769B" w:rsidRDefault="000A2D79" w:rsidP="005845A6">
      <w:pPr>
        <w:spacing w:line="360" w:lineRule="auto"/>
        <w:ind w:firstLine="708"/>
        <w:rPr>
          <w:sz w:val="22"/>
          <w:szCs w:val="22"/>
        </w:rPr>
      </w:pPr>
      <w:r w:rsidRPr="007E769B">
        <w:rPr>
          <w:sz w:val="22"/>
          <w:szCs w:val="22"/>
        </w:rPr>
        <w:t xml:space="preserve">De hypothese </w:t>
      </w:r>
      <w:r w:rsidR="0021360B" w:rsidRPr="007E769B">
        <w:rPr>
          <w:sz w:val="22"/>
          <w:szCs w:val="22"/>
        </w:rPr>
        <w:t xml:space="preserve">(a) </w:t>
      </w:r>
      <w:r w:rsidRPr="007E769B">
        <w:rPr>
          <w:sz w:val="22"/>
          <w:szCs w:val="22"/>
        </w:rPr>
        <w:t>stelt</w:t>
      </w:r>
      <w:r w:rsidR="00B55DED" w:rsidRPr="007E769B">
        <w:rPr>
          <w:sz w:val="22"/>
          <w:szCs w:val="22"/>
        </w:rPr>
        <w:t xml:space="preserve"> </w:t>
      </w:r>
      <w:r w:rsidR="0021360B" w:rsidRPr="007E769B">
        <w:rPr>
          <w:sz w:val="22"/>
          <w:szCs w:val="22"/>
        </w:rPr>
        <w:t xml:space="preserve">er onder invloed van corticosteron gedeeltelijk volledige translocatie van de GR optreedt, en onder invloed van </w:t>
      </w:r>
      <w:proofErr w:type="spellStart"/>
      <w:r w:rsidR="0021360B" w:rsidRPr="007E769B">
        <w:rPr>
          <w:sz w:val="22"/>
          <w:szCs w:val="22"/>
        </w:rPr>
        <w:t>mifepreston</w:t>
      </w:r>
      <w:proofErr w:type="spellEnd"/>
      <w:r w:rsidR="0021360B" w:rsidRPr="007E769B">
        <w:rPr>
          <w:sz w:val="22"/>
          <w:szCs w:val="22"/>
        </w:rPr>
        <w:t xml:space="preserve"> en 17AAG vrijwel geen volledige translocatie van de GR optreedt.</w:t>
      </w:r>
      <w:r w:rsidR="005845A6" w:rsidRPr="007E769B">
        <w:rPr>
          <w:sz w:val="22"/>
          <w:szCs w:val="22"/>
        </w:rPr>
        <w:t xml:space="preserve"> </w:t>
      </w:r>
      <w:r w:rsidR="0021360B" w:rsidRPr="007E769B">
        <w:rPr>
          <w:sz w:val="22"/>
          <w:szCs w:val="22"/>
        </w:rPr>
        <w:t xml:space="preserve">Verwacht wordt namelijk dat </w:t>
      </w:r>
      <w:r w:rsidR="00B55DED" w:rsidRPr="007E769B">
        <w:rPr>
          <w:sz w:val="22"/>
          <w:szCs w:val="22"/>
        </w:rPr>
        <w:t xml:space="preserve">corticosteron met een lagere affiniteit zal </w:t>
      </w:r>
      <w:r w:rsidR="00B45D07" w:rsidRPr="007E769B">
        <w:rPr>
          <w:sz w:val="22"/>
          <w:szCs w:val="22"/>
        </w:rPr>
        <w:t>binden aan de humane glucocorticoïdreceptor dan cortisol, met als gevolg dat er minder trans</w:t>
      </w:r>
      <w:r w:rsidRPr="007E769B">
        <w:rPr>
          <w:sz w:val="22"/>
          <w:szCs w:val="22"/>
        </w:rPr>
        <w:t xml:space="preserve">locatie optreedt dan bij de positieve controle. En dat </w:t>
      </w:r>
      <w:proofErr w:type="spellStart"/>
      <w:r w:rsidRPr="007E769B">
        <w:rPr>
          <w:sz w:val="22"/>
          <w:szCs w:val="22"/>
        </w:rPr>
        <w:t>mifepreston</w:t>
      </w:r>
      <w:proofErr w:type="spellEnd"/>
      <w:r w:rsidRPr="007E769B">
        <w:rPr>
          <w:sz w:val="22"/>
          <w:szCs w:val="22"/>
        </w:rPr>
        <w:t xml:space="preserve"> en 17AAG de glucocorticoïdreceptor bezet zullen houden zonder de translocatie in werking te zetten, met als gevolg dat er vrijwel geen translocatie zal optreden. </w:t>
      </w:r>
    </w:p>
    <w:p w:rsidR="00431649" w:rsidRPr="007E769B" w:rsidRDefault="0021360B" w:rsidP="00431649">
      <w:pPr>
        <w:spacing w:line="360" w:lineRule="auto"/>
        <w:rPr>
          <w:sz w:val="22"/>
          <w:szCs w:val="22"/>
        </w:rPr>
      </w:pPr>
      <w:r w:rsidRPr="007E769B">
        <w:rPr>
          <w:sz w:val="22"/>
          <w:szCs w:val="22"/>
        </w:rPr>
        <w:t>De hypothese (b) stelt</w:t>
      </w:r>
      <w:r w:rsidR="000A2D79" w:rsidRPr="007E769B">
        <w:rPr>
          <w:sz w:val="22"/>
          <w:szCs w:val="22"/>
        </w:rPr>
        <w:t xml:space="preserve"> dat het kwantificeren van ligand-geïnduceerde nucleaire translocatie van de GR-receptor een robuuste methode voor het screenen van GR-liganden zal zijn.</w:t>
      </w:r>
    </w:p>
    <w:p w:rsidR="00354E43" w:rsidRPr="00602859" w:rsidRDefault="005845A6" w:rsidP="00431649">
      <w:pPr>
        <w:spacing w:line="360" w:lineRule="auto"/>
        <w:rPr>
          <w:sz w:val="22"/>
          <w:szCs w:val="22"/>
        </w:rPr>
      </w:pPr>
      <w:r w:rsidRPr="007E769B">
        <w:rPr>
          <w:sz w:val="22"/>
          <w:szCs w:val="22"/>
        </w:rPr>
        <w:tab/>
      </w:r>
      <w:r w:rsidR="00476555" w:rsidRPr="00602859">
        <w:rPr>
          <w:color w:val="FFFFFF" w:themeColor="background1"/>
          <w:sz w:val="22"/>
          <w:szCs w:val="22"/>
          <w:highlight w:val="blue"/>
        </w:rPr>
        <w:t>Als voorbereiding wordt</w:t>
      </w:r>
      <w:r w:rsidR="005A4774" w:rsidRPr="00602859">
        <w:rPr>
          <w:color w:val="FFFFFF" w:themeColor="background1"/>
          <w:sz w:val="22"/>
          <w:szCs w:val="22"/>
          <w:highlight w:val="blue"/>
        </w:rPr>
        <w:t xml:space="preserve"> gestart met </w:t>
      </w:r>
      <w:r w:rsidRPr="00602859">
        <w:rPr>
          <w:color w:val="FFFFFF" w:themeColor="background1"/>
          <w:sz w:val="22"/>
          <w:szCs w:val="22"/>
          <w:highlight w:val="blue"/>
        </w:rPr>
        <w:t xml:space="preserve">de insertie van de </w:t>
      </w:r>
      <w:proofErr w:type="spellStart"/>
      <w:r w:rsidRPr="00602859">
        <w:rPr>
          <w:color w:val="FFFFFF" w:themeColor="background1"/>
          <w:sz w:val="22"/>
          <w:szCs w:val="22"/>
          <w:highlight w:val="blue"/>
        </w:rPr>
        <w:t>hGR</w:t>
      </w:r>
      <w:proofErr w:type="spellEnd"/>
      <w:r w:rsidRPr="00602859">
        <w:rPr>
          <w:color w:val="FFFFFF" w:themeColor="background1"/>
          <w:sz w:val="22"/>
          <w:szCs w:val="22"/>
          <w:highlight w:val="blue"/>
        </w:rPr>
        <w:t xml:space="preserve"> sequentie </w:t>
      </w:r>
      <w:r w:rsidR="005A4774" w:rsidRPr="00602859">
        <w:rPr>
          <w:color w:val="FFFFFF" w:themeColor="background1"/>
          <w:sz w:val="22"/>
          <w:szCs w:val="22"/>
          <w:highlight w:val="blue"/>
        </w:rPr>
        <w:t xml:space="preserve">met daarachter de green fluorescent </w:t>
      </w:r>
      <w:proofErr w:type="spellStart"/>
      <w:r w:rsidR="005A4774" w:rsidRPr="00602859">
        <w:rPr>
          <w:color w:val="FFFFFF" w:themeColor="background1"/>
          <w:sz w:val="22"/>
          <w:szCs w:val="22"/>
          <w:highlight w:val="blue"/>
        </w:rPr>
        <w:t>protein</w:t>
      </w:r>
      <w:proofErr w:type="spellEnd"/>
      <w:r w:rsidR="005A4774" w:rsidRPr="00602859">
        <w:rPr>
          <w:color w:val="FFFFFF" w:themeColor="background1"/>
          <w:sz w:val="22"/>
          <w:szCs w:val="22"/>
          <w:highlight w:val="blue"/>
        </w:rPr>
        <w:t xml:space="preserve"> (GFP) sequentie </w:t>
      </w:r>
      <w:r w:rsidRPr="00602859">
        <w:rPr>
          <w:color w:val="FFFFFF" w:themeColor="background1"/>
          <w:sz w:val="22"/>
          <w:szCs w:val="22"/>
          <w:highlight w:val="blue"/>
        </w:rPr>
        <w:t>in een e</w:t>
      </w:r>
      <w:r w:rsidR="005A4774" w:rsidRPr="00602859">
        <w:rPr>
          <w:color w:val="FFFFFF" w:themeColor="background1"/>
          <w:sz w:val="22"/>
          <w:szCs w:val="22"/>
          <w:highlight w:val="blue"/>
        </w:rPr>
        <w:t xml:space="preserve">xpressieplasmide. </w:t>
      </w:r>
      <w:r w:rsidR="00476555" w:rsidRPr="00602859">
        <w:rPr>
          <w:color w:val="FFFFFF" w:themeColor="background1"/>
          <w:sz w:val="22"/>
          <w:szCs w:val="22"/>
          <w:highlight w:val="blue"/>
        </w:rPr>
        <w:t>De plasmide wo</w:t>
      </w:r>
      <w:r w:rsidR="005A4774" w:rsidRPr="00602859">
        <w:rPr>
          <w:color w:val="FFFFFF" w:themeColor="background1"/>
          <w:sz w:val="22"/>
          <w:szCs w:val="22"/>
          <w:highlight w:val="blue"/>
        </w:rPr>
        <w:t xml:space="preserve">rd vervolgens in </w:t>
      </w:r>
      <w:proofErr w:type="spellStart"/>
      <w:r w:rsidR="005A4774" w:rsidRPr="00602859">
        <w:rPr>
          <w:color w:val="FFFFFF" w:themeColor="background1"/>
          <w:sz w:val="22"/>
          <w:szCs w:val="22"/>
          <w:highlight w:val="blue"/>
        </w:rPr>
        <w:t>E.coli</w:t>
      </w:r>
      <w:proofErr w:type="spellEnd"/>
      <w:r w:rsidR="005A4774" w:rsidRPr="00602859">
        <w:rPr>
          <w:color w:val="FFFFFF" w:themeColor="background1"/>
          <w:sz w:val="22"/>
          <w:szCs w:val="22"/>
          <w:highlight w:val="blue"/>
        </w:rPr>
        <w:t xml:space="preserve"> cellen opgekweekt. </w:t>
      </w:r>
      <w:r w:rsidR="00476555" w:rsidRPr="00602859">
        <w:rPr>
          <w:color w:val="FFFFFF" w:themeColor="background1"/>
          <w:sz w:val="22"/>
          <w:szCs w:val="22"/>
          <w:highlight w:val="blue"/>
        </w:rPr>
        <w:t>D</w:t>
      </w:r>
      <w:r w:rsidR="005A4774" w:rsidRPr="00602859">
        <w:rPr>
          <w:color w:val="FFFFFF" w:themeColor="background1"/>
          <w:sz w:val="22"/>
          <w:szCs w:val="22"/>
          <w:highlight w:val="blue"/>
        </w:rPr>
        <w:t>aarna</w:t>
      </w:r>
      <w:r w:rsidRPr="00602859">
        <w:rPr>
          <w:color w:val="FFFFFF" w:themeColor="background1"/>
          <w:sz w:val="22"/>
          <w:szCs w:val="22"/>
          <w:highlight w:val="blue"/>
        </w:rPr>
        <w:t xml:space="preserve"> </w:t>
      </w:r>
      <w:r w:rsidR="00476555" w:rsidRPr="00602859">
        <w:rPr>
          <w:color w:val="FFFFFF" w:themeColor="background1"/>
          <w:sz w:val="22"/>
          <w:szCs w:val="22"/>
          <w:highlight w:val="blue"/>
        </w:rPr>
        <w:t xml:space="preserve">wordt de plasmide </w:t>
      </w:r>
      <w:r w:rsidRPr="00602859">
        <w:rPr>
          <w:color w:val="FFFFFF" w:themeColor="background1"/>
          <w:sz w:val="22"/>
          <w:szCs w:val="22"/>
          <w:highlight w:val="blue"/>
        </w:rPr>
        <w:t xml:space="preserve">in </w:t>
      </w:r>
      <w:r w:rsidR="005A4774" w:rsidRPr="00602859">
        <w:rPr>
          <w:color w:val="FFFFFF" w:themeColor="background1"/>
          <w:sz w:val="22"/>
          <w:szCs w:val="22"/>
          <w:highlight w:val="blue"/>
        </w:rPr>
        <w:t>HEK293 cellen ingebracht, dit is een humane niercellijn</w:t>
      </w:r>
      <w:r w:rsidR="00476555" w:rsidRPr="00602859">
        <w:rPr>
          <w:color w:val="FFFFFF" w:themeColor="background1"/>
          <w:sz w:val="22"/>
          <w:szCs w:val="22"/>
          <w:highlight w:val="blue"/>
        </w:rPr>
        <w:t xml:space="preserve">. </w:t>
      </w:r>
      <w:r w:rsidR="00476555" w:rsidRPr="00602859">
        <w:rPr>
          <w:sz w:val="22"/>
          <w:szCs w:val="22"/>
        </w:rPr>
        <w:t xml:space="preserve">Vervolgens wordt </w:t>
      </w:r>
      <w:r w:rsidR="00354E43" w:rsidRPr="00602859">
        <w:rPr>
          <w:sz w:val="22"/>
          <w:szCs w:val="22"/>
        </w:rPr>
        <w:t>met behulp van fluorescentie microscopie geanalyseerd</w:t>
      </w:r>
      <w:r w:rsidRPr="00602859">
        <w:rPr>
          <w:sz w:val="22"/>
          <w:szCs w:val="22"/>
        </w:rPr>
        <w:t xml:space="preserve"> in welk</w:t>
      </w:r>
      <w:r w:rsidR="00476555" w:rsidRPr="00602859">
        <w:rPr>
          <w:sz w:val="22"/>
          <w:szCs w:val="22"/>
        </w:rPr>
        <w:t>e compartimenten van de cel het</w:t>
      </w:r>
      <w:r w:rsidR="00354E43" w:rsidRPr="00602859">
        <w:rPr>
          <w:sz w:val="22"/>
          <w:szCs w:val="22"/>
        </w:rPr>
        <w:t xml:space="preserve"> human</w:t>
      </w:r>
      <w:r w:rsidR="00476555" w:rsidRPr="00602859">
        <w:rPr>
          <w:sz w:val="22"/>
          <w:szCs w:val="22"/>
        </w:rPr>
        <w:t xml:space="preserve">e </w:t>
      </w:r>
      <w:proofErr w:type="spellStart"/>
      <w:r w:rsidRPr="00602859">
        <w:rPr>
          <w:sz w:val="22"/>
          <w:szCs w:val="22"/>
        </w:rPr>
        <w:t>glucocortiocoïdreceptor</w:t>
      </w:r>
      <w:proofErr w:type="spellEnd"/>
      <w:r w:rsidRPr="00602859">
        <w:rPr>
          <w:sz w:val="22"/>
          <w:szCs w:val="22"/>
        </w:rPr>
        <w:t xml:space="preserve"> green fluorescent </w:t>
      </w:r>
      <w:proofErr w:type="spellStart"/>
      <w:r w:rsidRPr="00602859">
        <w:rPr>
          <w:sz w:val="22"/>
          <w:szCs w:val="22"/>
        </w:rPr>
        <w:t>protein</w:t>
      </w:r>
      <w:proofErr w:type="spellEnd"/>
      <w:r w:rsidRPr="00602859">
        <w:rPr>
          <w:sz w:val="22"/>
          <w:szCs w:val="22"/>
        </w:rPr>
        <w:t xml:space="preserve"> fusie-eiwit </w:t>
      </w:r>
      <w:r w:rsidR="00476555" w:rsidRPr="00602859">
        <w:rPr>
          <w:sz w:val="22"/>
          <w:szCs w:val="22"/>
        </w:rPr>
        <w:t>(</w:t>
      </w:r>
      <w:proofErr w:type="spellStart"/>
      <w:r w:rsidR="00476555" w:rsidRPr="00602859">
        <w:rPr>
          <w:sz w:val="22"/>
          <w:szCs w:val="22"/>
        </w:rPr>
        <w:t>hGR-GFP</w:t>
      </w:r>
      <w:proofErr w:type="spellEnd"/>
      <w:r w:rsidR="00476555" w:rsidRPr="00602859">
        <w:rPr>
          <w:sz w:val="22"/>
          <w:szCs w:val="22"/>
        </w:rPr>
        <w:t xml:space="preserve">) </w:t>
      </w:r>
      <w:r w:rsidRPr="00602859">
        <w:rPr>
          <w:sz w:val="22"/>
          <w:szCs w:val="22"/>
        </w:rPr>
        <w:t xml:space="preserve">tot expressie wordt gebracht. </w:t>
      </w:r>
      <w:r w:rsidR="00354E43" w:rsidRPr="00602859">
        <w:rPr>
          <w:sz w:val="22"/>
          <w:szCs w:val="22"/>
        </w:rPr>
        <w:t>Hieruit volgt een translocatie assay waaruit conclusies kunnen worden getrokken over de verschillende experimentele condities.</w:t>
      </w:r>
    </w:p>
    <w:p w:rsidR="00354E43" w:rsidRPr="007E769B" w:rsidRDefault="00354E43" w:rsidP="00431649">
      <w:pPr>
        <w:spacing w:line="360" w:lineRule="auto"/>
        <w:rPr>
          <w:sz w:val="22"/>
          <w:szCs w:val="22"/>
        </w:rPr>
      </w:pPr>
    </w:p>
    <w:p w:rsidR="007E769B" w:rsidRDefault="007E769B" w:rsidP="007E769B">
      <w:pPr>
        <w:tabs>
          <w:tab w:val="left" w:pos="2620"/>
        </w:tabs>
        <w:spacing w:line="360" w:lineRule="auto"/>
        <w:rPr>
          <w:b/>
          <w:szCs w:val="24"/>
        </w:rPr>
      </w:pPr>
    </w:p>
    <w:p w:rsidR="009923A0" w:rsidRPr="007E769B" w:rsidRDefault="00354E43" w:rsidP="007E769B">
      <w:pPr>
        <w:tabs>
          <w:tab w:val="left" w:pos="2620"/>
        </w:tabs>
        <w:spacing w:line="360" w:lineRule="auto"/>
        <w:rPr>
          <w:b/>
          <w:szCs w:val="24"/>
        </w:rPr>
      </w:pPr>
      <w:r w:rsidRPr="007E769B">
        <w:rPr>
          <w:b/>
          <w:szCs w:val="24"/>
        </w:rPr>
        <w:t>Materiaal &amp; Methode</w:t>
      </w:r>
      <w:r w:rsidR="007E769B" w:rsidRPr="007E769B">
        <w:rPr>
          <w:b/>
          <w:szCs w:val="24"/>
        </w:rPr>
        <w:tab/>
      </w:r>
    </w:p>
    <w:p w:rsidR="007E769B" w:rsidRDefault="007E769B" w:rsidP="00A82031">
      <w:pPr>
        <w:spacing w:line="360" w:lineRule="auto"/>
        <w:rPr>
          <w:sz w:val="22"/>
          <w:szCs w:val="22"/>
        </w:rPr>
      </w:pPr>
    </w:p>
    <w:p w:rsidR="00A82031" w:rsidRPr="007E769B" w:rsidRDefault="00A82031" w:rsidP="00A82031">
      <w:pPr>
        <w:spacing w:line="360" w:lineRule="auto"/>
        <w:rPr>
          <w:b/>
          <w:sz w:val="22"/>
          <w:szCs w:val="22"/>
        </w:rPr>
      </w:pPr>
      <w:r w:rsidRPr="007E769B">
        <w:rPr>
          <w:b/>
          <w:sz w:val="22"/>
          <w:szCs w:val="22"/>
        </w:rPr>
        <w:t>Voorbereiding</w:t>
      </w:r>
    </w:p>
    <w:p w:rsidR="00A82031" w:rsidRDefault="005D344A" w:rsidP="00A82031">
      <w:pPr>
        <w:spacing w:line="360" w:lineRule="auto"/>
        <w:rPr>
          <w:sz w:val="22"/>
          <w:szCs w:val="22"/>
        </w:rPr>
      </w:pPr>
      <w:r w:rsidRPr="007E769B">
        <w:rPr>
          <w:sz w:val="22"/>
          <w:szCs w:val="22"/>
        </w:rPr>
        <w:t xml:space="preserve">Door middel van een PCR, bestaande uit de ouderplasmide </w:t>
      </w:r>
      <w:proofErr w:type="spellStart"/>
      <w:r w:rsidRPr="007E769B">
        <w:rPr>
          <w:sz w:val="22"/>
          <w:szCs w:val="22"/>
        </w:rPr>
        <w:t>pBluescript</w:t>
      </w:r>
      <w:proofErr w:type="spellEnd"/>
      <w:r w:rsidRPr="007E769B">
        <w:rPr>
          <w:sz w:val="22"/>
          <w:szCs w:val="22"/>
        </w:rPr>
        <w:t xml:space="preserve"> SK+ met </w:t>
      </w:r>
      <w:proofErr w:type="spellStart"/>
      <w:r w:rsidRPr="007E769B">
        <w:rPr>
          <w:sz w:val="22"/>
          <w:szCs w:val="22"/>
        </w:rPr>
        <w:t>hGR</w:t>
      </w:r>
      <w:proofErr w:type="spellEnd"/>
      <w:r w:rsidRPr="007E769B">
        <w:rPr>
          <w:sz w:val="22"/>
          <w:szCs w:val="22"/>
        </w:rPr>
        <w:t xml:space="preserve"> gen, een forward en een reverse primer, </w:t>
      </w:r>
      <w:proofErr w:type="spellStart"/>
      <w:r w:rsidRPr="007E769B">
        <w:rPr>
          <w:sz w:val="22"/>
          <w:szCs w:val="22"/>
        </w:rPr>
        <w:t>dNTP's</w:t>
      </w:r>
      <w:proofErr w:type="spellEnd"/>
      <w:r w:rsidRPr="007E769B">
        <w:rPr>
          <w:sz w:val="22"/>
          <w:szCs w:val="22"/>
        </w:rPr>
        <w:t xml:space="preserve">, </w:t>
      </w:r>
      <w:proofErr w:type="spellStart"/>
      <w:r w:rsidRPr="007E769B">
        <w:rPr>
          <w:sz w:val="22"/>
          <w:szCs w:val="22"/>
        </w:rPr>
        <w:t>taq</w:t>
      </w:r>
      <w:proofErr w:type="spellEnd"/>
      <w:r w:rsidRPr="007E769B">
        <w:rPr>
          <w:sz w:val="22"/>
          <w:szCs w:val="22"/>
        </w:rPr>
        <w:t xml:space="preserve"> </w:t>
      </w:r>
      <w:proofErr w:type="spellStart"/>
      <w:r w:rsidRPr="007E769B">
        <w:rPr>
          <w:sz w:val="22"/>
          <w:szCs w:val="22"/>
        </w:rPr>
        <w:t>polymerase</w:t>
      </w:r>
      <w:proofErr w:type="spellEnd"/>
      <w:r w:rsidRPr="007E769B">
        <w:rPr>
          <w:sz w:val="22"/>
          <w:szCs w:val="22"/>
        </w:rPr>
        <w:t xml:space="preserve"> en de PCR-cocktail, is de </w:t>
      </w:r>
      <w:proofErr w:type="spellStart"/>
      <w:r w:rsidRPr="007E769B">
        <w:rPr>
          <w:sz w:val="22"/>
          <w:szCs w:val="22"/>
        </w:rPr>
        <w:t>EGFP-hGR</w:t>
      </w:r>
      <w:proofErr w:type="spellEnd"/>
      <w:r w:rsidRPr="007E769B">
        <w:rPr>
          <w:sz w:val="22"/>
          <w:szCs w:val="22"/>
        </w:rPr>
        <w:t xml:space="preserve"> plasmide gevormd. De sequenties zijn als volgt: </w:t>
      </w:r>
      <w:r w:rsidR="00A82031" w:rsidRPr="007E769B">
        <w:rPr>
          <w:sz w:val="22"/>
          <w:szCs w:val="22"/>
        </w:rPr>
        <w:t xml:space="preserve">5'-GTAATACGACTCACTATAGGGC-3' </w:t>
      </w:r>
      <w:r w:rsidRPr="007E769B">
        <w:rPr>
          <w:sz w:val="22"/>
          <w:szCs w:val="22"/>
        </w:rPr>
        <w:t xml:space="preserve">voor de forward primer en </w:t>
      </w:r>
      <w:r w:rsidR="00A82031" w:rsidRPr="007E769B">
        <w:rPr>
          <w:sz w:val="22"/>
          <w:szCs w:val="22"/>
        </w:rPr>
        <w:t>5'AATTAACCCTCACTAAAGGG-3'</w:t>
      </w:r>
      <w:r w:rsidRPr="007E769B">
        <w:rPr>
          <w:sz w:val="22"/>
          <w:szCs w:val="22"/>
        </w:rPr>
        <w:t xml:space="preserve"> voor de reverse primer. Het PCR-</w:t>
      </w:r>
      <w:r w:rsidR="00A82031" w:rsidRPr="007E769B">
        <w:rPr>
          <w:sz w:val="22"/>
          <w:szCs w:val="22"/>
        </w:rPr>
        <w:t xml:space="preserve">product </w:t>
      </w:r>
      <w:r w:rsidRPr="007E769B">
        <w:rPr>
          <w:sz w:val="22"/>
          <w:szCs w:val="22"/>
        </w:rPr>
        <w:t xml:space="preserve">is </w:t>
      </w:r>
      <w:r w:rsidR="00A82031" w:rsidRPr="007E769B">
        <w:rPr>
          <w:sz w:val="22"/>
          <w:szCs w:val="22"/>
        </w:rPr>
        <w:t xml:space="preserve">opgezuiverd met de </w:t>
      </w:r>
      <w:r w:rsidR="00A82031" w:rsidRPr="007E769B">
        <w:rPr>
          <w:i/>
          <w:sz w:val="22"/>
          <w:szCs w:val="22"/>
        </w:rPr>
        <w:t xml:space="preserve">Roche High Pure PCR product </w:t>
      </w:r>
      <w:proofErr w:type="spellStart"/>
      <w:r w:rsidR="00A82031" w:rsidRPr="007E769B">
        <w:rPr>
          <w:i/>
          <w:sz w:val="22"/>
          <w:szCs w:val="22"/>
        </w:rPr>
        <w:t>purification</w:t>
      </w:r>
      <w:proofErr w:type="spellEnd"/>
      <w:r w:rsidR="00A82031" w:rsidRPr="007E769B">
        <w:rPr>
          <w:i/>
          <w:sz w:val="22"/>
          <w:szCs w:val="22"/>
        </w:rPr>
        <w:t xml:space="preserve"> kit</w:t>
      </w:r>
      <w:r w:rsidR="00A82031" w:rsidRPr="007E769B">
        <w:rPr>
          <w:sz w:val="22"/>
          <w:szCs w:val="22"/>
        </w:rPr>
        <w:t xml:space="preserve"> om </w:t>
      </w:r>
      <w:r w:rsidRPr="007E769B">
        <w:rPr>
          <w:sz w:val="22"/>
          <w:szCs w:val="22"/>
        </w:rPr>
        <w:t xml:space="preserve">de contaminanten te verwijderen en het lineaire </w:t>
      </w:r>
      <w:proofErr w:type="spellStart"/>
      <w:r w:rsidRPr="007E769B">
        <w:rPr>
          <w:sz w:val="22"/>
          <w:szCs w:val="22"/>
        </w:rPr>
        <w:t>hGR</w:t>
      </w:r>
      <w:proofErr w:type="spellEnd"/>
      <w:r w:rsidRPr="007E769B">
        <w:rPr>
          <w:sz w:val="22"/>
          <w:szCs w:val="22"/>
        </w:rPr>
        <w:t xml:space="preserve"> DNA te verkrijgen</w:t>
      </w:r>
      <w:r w:rsidR="009373BE" w:rsidRPr="007E769B">
        <w:rPr>
          <w:sz w:val="22"/>
          <w:szCs w:val="22"/>
        </w:rPr>
        <w:t xml:space="preserve">. Vervolgens is de </w:t>
      </w:r>
      <w:r w:rsidR="00A82031" w:rsidRPr="007E769B">
        <w:rPr>
          <w:sz w:val="22"/>
          <w:szCs w:val="22"/>
        </w:rPr>
        <w:t>restrictiedigestie uitgevoerd met Xho1 en BamH1</w:t>
      </w:r>
      <w:r w:rsidR="001D20C1" w:rsidRPr="007E769B">
        <w:rPr>
          <w:sz w:val="22"/>
          <w:szCs w:val="22"/>
        </w:rPr>
        <w:t>, op het PCR-</w:t>
      </w:r>
      <w:r w:rsidR="00A82031" w:rsidRPr="007E769B">
        <w:rPr>
          <w:sz w:val="22"/>
          <w:szCs w:val="22"/>
        </w:rPr>
        <w:t>product en de pEGFP-C1 expr</w:t>
      </w:r>
      <w:r w:rsidR="009373BE" w:rsidRPr="007E769B">
        <w:rPr>
          <w:sz w:val="22"/>
          <w:szCs w:val="22"/>
        </w:rPr>
        <w:t>essieplasmide. D</w:t>
      </w:r>
      <w:r w:rsidR="001D20C1" w:rsidRPr="007E769B">
        <w:rPr>
          <w:sz w:val="22"/>
          <w:szCs w:val="22"/>
        </w:rPr>
        <w:t>e DNA-</w:t>
      </w:r>
      <w:r w:rsidR="00A82031" w:rsidRPr="007E769B">
        <w:rPr>
          <w:sz w:val="22"/>
          <w:szCs w:val="22"/>
        </w:rPr>
        <w:t xml:space="preserve">fragmenten </w:t>
      </w:r>
      <w:r w:rsidR="009373BE" w:rsidRPr="007E769B">
        <w:rPr>
          <w:sz w:val="22"/>
          <w:szCs w:val="22"/>
        </w:rPr>
        <w:t xml:space="preserve">zijn </w:t>
      </w:r>
      <w:r w:rsidR="00A82031" w:rsidRPr="007E769B">
        <w:rPr>
          <w:sz w:val="22"/>
          <w:szCs w:val="22"/>
        </w:rPr>
        <w:t xml:space="preserve">op een </w:t>
      </w:r>
      <w:proofErr w:type="spellStart"/>
      <w:r w:rsidR="00A82031" w:rsidRPr="007E769B">
        <w:rPr>
          <w:sz w:val="22"/>
          <w:szCs w:val="22"/>
        </w:rPr>
        <w:t>agarose</w:t>
      </w:r>
      <w:proofErr w:type="spellEnd"/>
      <w:r w:rsidR="00A82031" w:rsidRPr="007E769B">
        <w:rPr>
          <w:sz w:val="22"/>
          <w:szCs w:val="22"/>
        </w:rPr>
        <w:t xml:space="preserve"> </w:t>
      </w:r>
      <w:r w:rsidR="009373BE" w:rsidRPr="007E769B">
        <w:rPr>
          <w:sz w:val="22"/>
          <w:szCs w:val="22"/>
        </w:rPr>
        <w:t xml:space="preserve">gel op grootte gescheiden en </w:t>
      </w:r>
      <w:r w:rsidR="00A82031" w:rsidRPr="007E769B">
        <w:rPr>
          <w:sz w:val="22"/>
          <w:szCs w:val="22"/>
        </w:rPr>
        <w:t xml:space="preserve">het DNA </w:t>
      </w:r>
      <w:r w:rsidR="009373BE" w:rsidRPr="007E769B">
        <w:rPr>
          <w:sz w:val="22"/>
          <w:szCs w:val="22"/>
        </w:rPr>
        <w:t xml:space="preserve">is </w:t>
      </w:r>
      <w:r w:rsidR="00A82031" w:rsidRPr="007E769B">
        <w:rPr>
          <w:sz w:val="22"/>
          <w:szCs w:val="22"/>
        </w:rPr>
        <w:t xml:space="preserve">uit de gel geëxtraheerd en opgezuiverd met de </w:t>
      </w:r>
      <w:r w:rsidR="00A82031" w:rsidRPr="007E769B">
        <w:rPr>
          <w:i/>
          <w:sz w:val="22"/>
          <w:szCs w:val="22"/>
        </w:rPr>
        <w:t xml:space="preserve">Roche DNA </w:t>
      </w:r>
      <w:proofErr w:type="spellStart"/>
      <w:r w:rsidR="00A82031" w:rsidRPr="007E769B">
        <w:rPr>
          <w:i/>
          <w:sz w:val="22"/>
          <w:szCs w:val="22"/>
        </w:rPr>
        <w:t>extraction</w:t>
      </w:r>
      <w:proofErr w:type="spellEnd"/>
      <w:r w:rsidR="00A82031" w:rsidRPr="007E769B">
        <w:rPr>
          <w:i/>
          <w:sz w:val="22"/>
          <w:szCs w:val="22"/>
        </w:rPr>
        <w:t xml:space="preserve"> kit</w:t>
      </w:r>
      <w:r w:rsidR="002D47A1" w:rsidRPr="007E769B">
        <w:rPr>
          <w:sz w:val="22"/>
          <w:szCs w:val="22"/>
        </w:rPr>
        <w:t>. In h</w:t>
      </w:r>
      <w:r w:rsidR="00A82031" w:rsidRPr="007E769B">
        <w:rPr>
          <w:sz w:val="22"/>
          <w:szCs w:val="22"/>
        </w:rPr>
        <w:t>et opgezuiverde DNA</w:t>
      </w:r>
      <w:r w:rsidR="002D47A1" w:rsidRPr="007E769B">
        <w:rPr>
          <w:sz w:val="22"/>
          <w:szCs w:val="22"/>
        </w:rPr>
        <w:t xml:space="preserve"> werd</w:t>
      </w:r>
      <w:r w:rsidR="00A82031" w:rsidRPr="007E769B">
        <w:rPr>
          <w:sz w:val="22"/>
          <w:szCs w:val="22"/>
        </w:rPr>
        <w:t xml:space="preserve"> </w:t>
      </w:r>
      <w:proofErr w:type="spellStart"/>
      <w:r w:rsidR="00A82031" w:rsidRPr="007E769B">
        <w:rPr>
          <w:sz w:val="22"/>
          <w:szCs w:val="22"/>
        </w:rPr>
        <w:t>hGR</w:t>
      </w:r>
      <w:proofErr w:type="spellEnd"/>
      <w:r w:rsidR="00A82031" w:rsidRPr="007E769B">
        <w:rPr>
          <w:sz w:val="22"/>
          <w:szCs w:val="22"/>
        </w:rPr>
        <w:t xml:space="preserve"> in de p</w:t>
      </w:r>
      <w:r w:rsidR="002D47A1" w:rsidRPr="007E769B">
        <w:rPr>
          <w:sz w:val="22"/>
          <w:szCs w:val="22"/>
        </w:rPr>
        <w:t xml:space="preserve">EGFP-C1 plasmide </w:t>
      </w:r>
      <w:proofErr w:type="spellStart"/>
      <w:r w:rsidR="002D47A1" w:rsidRPr="007E769B">
        <w:rPr>
          <w:sz w:val="22"/>
          <w:szCs w:val="22"/>
        </w:rPr>
        <w:t>geligeerd</w:t>
      </w:r>
      <w:proofErr w:type="spellEnd"/>
      <w:r w:rsidR="00A82031" w:rsidRPr="007E769B">
        <w:rPr>
          <w:sz w:val="22"/>
          <w:szCs w:val="22"/>
        </w:rPr>
        <w:t xml:space="preserve"> </w:t>
      </w:r>
      <w:r w:rsidR="002D47A1" w:rsidRPr="007E769B">
        <w:rPr>
          <w:sz w:val="22"/>
          <w:szCs w:val="22"/>
        </w:rPr>
        <w:t xml:space="preserve">door middel van </w:t>
      </w:r>
      <w:proofErr w:type="spellStart"/>
      <w:r w:rsidR="002D47A1" w:rsidRPr="007E769B">
        <w:rPr>
          <w:sz w:val="22"/>
          <w:szCs w:val="22"/>
        </w:rPr>
        <w:t>sticky</w:t>
      </w:r>
      <w:proofErr w:type="spellEnd"/>
      <w:r w:rsidR="002D47A1" w:rsidRPr="007E769B">
        <w:rPr>
          <w:sz w:val="22"/>
          <w:szCs w:val="22"/>
        </w:rPr>
        <w:t xml:space="preserve"> </w:t>
      </w:r>
      <w:proofErr w:type="spellStart"/>
      <w:r w:rsidR="002D47A1" w:rsidRPr="007E769B">
        <w:rPr>
          <w:sz w:val="22"/>
          <w:szCs w:val="22"/>
        </w:rPr>
        <w:t>ends</w:t>
      </w:r>
      <w:proofErr w:type="spellEnd"/>
      <w:r w:rsidR="002D47A1" w:rsidRPr="007E769B">
        <w:rPr>
          <w:sz w:val="22"/>
          <w:szCs w:val="22"/>
        </w:rPr>
        <w:t xml:space="preserve">, met ten eerste </w:t>
      </w:r>
      <w:proofErr w:type="spellStart"/>
      <w:r w:rsidR="00A82031" w:rsidRPr="007E769B">
        <w:rPr>
          <w:sz w:val="22"/>
          <w:szCs w:val="22"/>
        </w:rPr>
        <w:t>hGR</w:t>
      </w:r>
      <w:proofErr w:type="spellEnd"/>
      <w:r w:rsidR="00A82031" w:rsidRPr="007E769B">
        <w:rPr>
          <w:sz w:val="22"/>
          <w:szCs w:val="22"/>
        </w:rPr>
        <w:t xml:space="preserve"> </w:t>
      </w:r>
      <w:r w:rsidR="002D47A1" w:rsidRPr="007E769B">
        <w:rPr>
          <w:sz w:val="22"/>
          <w:szCs w:val="22"/>
        </w:rPr>
        <w:t>en daarachter GFP</w:t>
      </w:r>
      <w:r w:rsidR="00A82031" w:rsidRPr="007E769B">
        <w:rPr>
          <w:sz w:val="22"/>
          <w:szCs w:val="22"/>
        </w:rPr>
        <w:t xml:space="preserve">. </w:t>
      </w:r>
      <w:r w:rsidR="002D47A1" w:rsidRPr="007E769B">
        <w:rPr>
          <w:sz w:val="22"/>
          <w:szCs w:val="22"/>
        </w:rPr>
        <w:t xml:space="preserve">De </w:t>
      </w:r>
      <w:r w:rsidR="00A82031" w:rsidRPr="007E769B">
        <w:rPr>
          <w:sz w:val="22"/>
          <w:szCs w:val="22"/>
        </w:rPr>
        <w:t>pEGFP-</w:t>
      </w:r>
      <w:r w:rsidR="002D47A1" w:rsidRPr="007E769B">
        <w:rPr>
          <w:sz w:val="22"/>
          <w:szCs w:val="22"/>
        </w:rPr>
        <w:t>C</w:t>
      </w:r>
      <w:r w:rsidR="007E65F5" w:rsidRPr="007E769B">
        <w:rPr>
          <w:sz w:val="22"/>
          <w:szCs w:val="22"/>
        </w:rPr>
        <w:t xml:space="preserve">1 plasmide met </w:t>
      </w:r>
      <w:proofErr w:type="spellStart"/>
      <w:r w:rsidR="007E65F5" w:rsidRPr="007E769B">
        <w:rPr>
          <w:sz w:val="22"/>
          <w:szCs w:val="22"/>
        </w:rPr>
        <w:t>hGR</w:t>
      </w:r>
      <w:proofErr w:type="spellEnd"/>
      <w:r w:rsidR="007E65F5" w:rsidRPr="007E769B">
        <w:rPr>
          <w:sz w:val="22"/>
          <w:szCs w:val="22"/>
        </w:rPr>
        <w:t xml:space="preserve"> </w:t>
      </w:r>
      <w:proofErr w:type="spellStart"/>
      <w:r w:rsidR="007E65F5" w:rsidRPr="007E769B">
        <w:rPr>
          <w:sz w:val="22"/>
          <w:szCs w:val="22"/>
        </w:rPr>
        <w:t>insert</w:t>
      </w:r>
      <w:proofErr w:type="spellEnd"/>
      <w:r w:rsidR="007E65F5" w:rsidRPr="007E769B">
        <w:rPr>
          <w:sz w:val="22"/>
          <w:szCs w:val="22"/>
        </w:rPr>
        <w:t xml:space="preserve"> werd </w:t>
      </w:r>
      <w:r w:rsidR="00A82031" w:rsidRPr="007E769B">
        <w:rPr>
          <w:sz w:val="22"/>
          <w:szCs w:val="22"/>
        </w:rPr>
        <w:t xml:space="preserve">in competente </w:t>
      </w:r>
      <w:proofErr w:type="spellStart"/>
      <w:r w:rsidR="00A82031" w:rsidRPr="007E769B">
        <w:rPr>
          <w:sz w:val="22"/>
          <w:szCs w:val="22"/>
        </w:rPr>
        <w:t>E</w:t>
      </w:r>
      <w:r w:rsidR="007E65F5" w:rsidRPr="007E769B">
        <w:rPr>
          <w:sz w:val="22"/>
          <w:szCs w:val="22"/>
        </w:rPr>
        <w:t>.coli</w:t>
      </w:r>
      <w:proofErr w:type="spellEnd"/>
      <w:r w:rsidR="007E65F5" w:rsidRPr="007E769B">
        <w:rPr>
          <w:sz w:val="22"/>
          <w:szCs w:val="22"/>
        </w:rPr>
        <w:t xml:space="preserve"> cellen getransformeerd, en </w:t>
      </w:r>
      <w:proofErr w:type="spellStart"/>
      <w:r w:rsidR="00A82031" w:rsidRPr="007E769B">
        <w:rPr>
          <w:sz w:val="22"/>
          <w:szCs w:val="22"/>
        </w:rPr>
        <w:t>uitgeplaa</w:t>
      </w:r>
      <w:r w:rsidR="007E65F5" w:rsidRPr="007E769B">
        <w:rPr>
          <w:sz w:val="22"/>
          <w:szCs w:val="22"/>
        </w:rPr>
        <w:t>t</w:t>
      </w:r>
      <w:proofErr w:type="spellEnd"/>
      <w:r w:rsidR="007E65F5" w:rsidRPr="007E769B">
        <w:rPr>
          <w:sz w:val="22"/>
          <w:szCs w:val="22"/>
        </w:rPr>
        <w:t xml:space="preserve"> op </w:t>
      </w:r>
      <w:proofErr w:type="spellStart"/>
      <w:r w:rsidR="007E65F5" w:rsidRPr="007E769B">
        <w:rPr>
          <w:sz w:val="22"/>
          <w:szCs w:val="22"/>
        </w:rPr>
        <w:t>agar</w:t>
      </w:r>
      <w:proofErr w:type="spellEnd"/>
      <w:r w:rsidR="007E65F5" w:rsidRPr="007E769B">
        <w:rPr>
          <w:sz w:val="22"/>
          <w:szCs w:val="22"/>
        </w:rPr>
        <w:t xml:space="preserve"> </w:t>
      </w:r>
      <w:r w:rsidR="00A82031" w:rsidRPr="007E769B">
        <w:rPr>
          <w:sz w:val="22"/>
          <w:szCs w:val="22"/>
        </w:rPr>
        <w:t xml:space="preserve">met </w:t>
      </w:r>
      <w:proofErr w:type="spellStart"/>
      <w:r w:rsidR="00A82031" w:rsidRPr="007E769B">
        <w:rPr>
          <w:sz w:val="22"/>
          <w:szCs w:val="22"/>
        </w:rPr>
        <w:t>kanamycine</w:t>
      </w:r>
      <w:proofErr w:type="spellEnd"/>
      <w:r w:rsidR="00FE7750" w:rsidRPr="007E769B">
        <w:rPr>
          <w:sz w:val="22"/>
          <w:szCs w:val="22"/>
        </w:rPr>
        <w:t>. De E. coli kolonies</w:t>
      </w:r>
      <w:r w:rsidR="007E65F5" w:rsidRPr="007E769B">
        <w:rPr>
          <w:sz w:val="22"/>
          <w:szCs w:val="22"/>
        </w:rPr>
        <w:t xml:space="preserve"> we</w:t>
      </w:r>
      <w:r w:rsidR="00A82031" w:rsidRPr="007E769B">
        <w:rPr>
          <w:sz w:val="22"/>
          <w:szCs w:val="22"/>
        </w:rPr>
        <w:t xml:space="preserve">rden met een </w:t>
      </w:r>
      <w:proofErr w:type="spellStart"/>
      <w:r w:rsidR="00A82031" w:rsidRPr="007E769B">
        <w:rPr>
          <w:sz w:val="22"/>
          <w:szCs w:val="22"/>
        </w:rPr>
        <w:t>Colony</w:t>
      </w:r>
      <w:proofErr w:type="spellEnd"/>
      <w:r w:rsidR="00A82031" w:rsidRPr="007E769B">
        <w:rPr>
          <w:sz w:val="22"/>
          <w:szCs w:val="22"/>
        </w:rPr>
        <w:t xml:space="preserve"> PCR gescreend op</w:t>
      </w:r>
      <w:r w:rsidR="007E65F5" w:rsidRPr="007E769B">
        <w:rPr>
          <w:sz w:val="22"/>
          <w:szCs w:val="22"/>
        </w:rPr>
        <w:t xml:space="preserve"> de aanwezigheid van de </w:t>
      </w:r>
      <w:r w:rsidR="00A82031" w:rsidRPr="007E769B">
        <w:rPr>
          <w:sz w:val="22"/>
          <w:szCs w:val="22"/>
        </w:rPr>
        <w:t xml:space="preserve">insertie. </w:t>
      </w:r>
      <w:r w:rsidR="00FE7750" w:rsidRPr="007E769B">
        <w:rPr>
          <w:sz w:val="22"/>
          <w:szCs w:val="22"/>
        </w:rPr>
        <w:t>Er werden twee buizen aangeënt met de bruikbare kolonies. H</w:t>
      </w:r>
      <w:r w:rsidR="00A82031" w:rsidRPr="007E769B">
        <w:rPr>
          <w:sz w:val="22"/>
          <w:szCs w:val="22"/>
        </w:rPr>
        <w:t xml:space="preserve">et DNA </w:t>
      </w:r>
      <w:r w:rsidR="00FE7750" w:rsidRPr="007E769B">
        <w:rPr>
          <w:sz w:val="22"/>
          <w:szCs w:val="22"/>
        </w:rPr>
        <w:t xml:space="preserve">werd vervolgens uit deze buizen </w:t>
      </w:r>
      <w:r w:rsidR="00A82031" w:rsidRPr="007E769B">
        <w:rPr>
          <w:sz w:val="22"/>
          <w:szCs w:val="22"/>
        </w:rPr>
        <w:t xml:space="preserve">geïsoleerd met behulp van een </w:t>
      </w:r>
      <w:proofErr w:type="spellStart"/>
      <w:r w:rsidR="00A82031" w:rsidRPr="007E769B">
        <w:rPr>
          <w:sz w:val="22"/>
          <w:szCs w:val="22"/>
        </w:rPr>
        <w:t>Mini-prep</w:t>
      </w:r>
      <w:proofErr w:type="spellEnd"/>
      <w:r w:rsidR="00A82031" w:rsidRPr="007E769B">
        <w:rPr>
          <w:sz w:val="22"/>
          <w:szCs w:val="22"/>
        </w:rPr>
        <w:t xml:space="preserve"> met de </w:t>
      </w:r>
      <w:proofErr w:type="spellStart"/>
      <w:r w:rsidR="00A82031" w:rsidRPr="007E769B">
        <w:rPr>
          <w:i/>
          <w:sz w:val="22"/>
          <w:szCs w:val="22"/>
        </w:rPr>
        <w:t>QIAprep</w:t>
      </w:r>
      <w:proofErr w:type="spellEnd"/>
      <w:r w:rsidR="00A82031" w:rsidRPr="007E769B">
        <w:rPr>
          <w:i/>
          <w:sz w:val="22"/>
          <w:szCs w:val="22"/>
        </w:rPr>
        <w:t xml:space="preserve"> Spin </w:t>
      </w:r>
      <w:proofErr w:type="spellStart"/>
      <w:r w:rsidR="00A82031" w:rsidRPr="007E769B">
        <w:rPr>
          <w:i/>
          <w:sz w:val="22"/>
          <w:szCs w:val="22"/>
        </w:rPr>
        <w:t>Miniprep</w:t>
      </w:r>
      <w:proofErr w:type="spellEnd"/>
      <w:r w:rsidR="00A82031" w:rsidRPr="007E769B">
        <w:rPr>
          <w:i/>
          <w:sz w:val="22"/>
          <w:szCs w:val="22"/>
        </w:rPr>
        <w:t xml:space="preserve"> kit</w:t>
      </w:r>
      <w:r w:rsidR="00D461C0">
        <w:rPr>
          <w:sz w:val="22"/>
          <w:szCs w:val="22"/>
        </w:rPr>
        <w:t>.</w:t>
      </w:r>
    </w:p>
    <w:p w:rsidR="007E769B" w:rsidRDefault="007E769B" w:rsidP="00A82031">
      <w:pPr>
        <w:spacing w:line="360" w:lineRule="auto"/>
        <w:rPr>
          <w:sz w:val="22"/>
          <w:szCs w:val="22"/>
        </w:rPr>
      </w:pPr>
    </w:p>
    <w:p w:rsidR="0078003E" w:rsidRDefault="007E769B" w:rsidP="007E769B">
      <w:pPr>
        <w:spacing w:line="360" w:lineRule="auto"/>
        <w:rPr>
          <w:sz w:val="22"/>
          <w:szCs w:val="22"/>
        </w:rPr>
      </w:pPr>
      <w:r w:rsidRPr="007E769B">
        <w:rPr>
          <w:b/>
          <w:bCs/>
          <w:sz w:val="22"/>
          <w:szCs w:val="22"/>
        </w:rPr>
        <w:t>Cel</w:t>
      </w:r>
      <w:r>
        <w:rPr>
          <w:b/>
          <w:bCs/>
          <w:sz w:val="22"/>
          <w:szCs w:val="22"/>
        </w:rPr>
        <w:t>lijn</w:t>
      </w:r>
      <w:r w:rsidR="0078003E">
        <w:rPr>
          <w:sz w:val="22"/>
          <w:szCs w:val="22"/>
        </w:rPr>
        <w:br/>
        <w:t xml:space="preserve">De cellijn die gebruikt is, zijn HEK293 cellen met een ingebrachte </w:t>
      </w:r>
      <w:proofErr w:type="spellStart"/>
      <w:r w:rsidR="0078003E">
        <w:rPr>
          <w:sz w:val="22"/>
          <w:szCs w:val="22"/>
        </w:rPr>
        <w:t>EGFP-hGR</w:t>
      </w:r>
      <w:proofErr w:type="spellEnd"/>
      <w:r w:rsidR="0078003E">
        <w:rPr>
          <w:sz w:val="22"/>
          <w:szCs w:val="22"/>
        </w:rPr>
        <w:t xml:space="preserve"> plasmide</w:t>
      </w:r>
      <w:r w:rsidRPr="007E769B">
        <w:rPr>
          <w:sz w:val="22"/>
          <w:szCs w:val="22"/>
        </w:rPr>
        <w:t xml:space="preserve">. De </w:t>
      </w:r>
      <w:r w:rsidR="0078003E">
        <w:rPr>
          <w:sz w:val="22"/>
          <w:szCs w:val="22"/>
        </w:rPr>
        <w:t>concentratie van de cellen voor de translocatie-assay is 3,2E5 per milliliter.</w:t>
      </w:r>
    </w:p>
    <w:p w:rsidR="0078003E" w:rsidRDefault="0078003E" w:rsidP="007E769B">
      <w:pPr>
        <w:spacing w:line="360" w:lineRule="auto"/>
        <w:rPr>
          <w:sz w:val="22"/>
          <w:szCs w:val="22"/>
        </w:rPr>
      </w:pPr>
    </w:p>
    <w:p w:rsidR="0078003E" w:rsidRDefault="0078003E" w:rsidP="0078003E">
      <w:pPr>
        <w:spacing w:line="360" w:lineRule="auto"/>
        <w:rPr>
          <w:sz w:val="22"/>
          <w:szCs w:val="22"/>
        </w:rPr>
      </w:pPr>
      <w:r w:rsidRPr="007E769B">
        <w:rPr>
          <w:b/>
          <w:bCs/>
          <w:sz w:val="22"/>
          <w:szCs w:val="22"/>
        </w:rPr>
        <w:t>Reagentia</w:t>
      </w:r>
      <w:r w:rsidRPr="007E769B">
        <w:rPr>
          <w:sz w:val="22"/>
          <w:szCs w:val="22"/>
        </w:rPr>
        <w:br/>
        <w:t xml:space="preserve">Het </w:t>
      </w:r>
      <w:r>
        <w:rPr>
          <w:sz w:val="22"/>
          <w:szCs w:val="22"/>
        </w:rPr>
        <w:t xml:space="preserve">gebruikte medium voor de celkweek </w:t>
      </w:r>
      <w:r w:rsidRPr="007E769B">
        <w:rPr>
          <w:sz w:val="22"/>
          <w:szCs w:val="22"/>
        </w:rPr>
        <w:t xml:space="preserve">is DMEM (met antibiotica gentamicine, glutamine, 10% foetaal </w:t>
      </w:r>
      <w:proofErr w:type="spellStart"/>
      <w:r w:rsidRPr="007E769B">
        <w:rPr>
          <w:sz w:val="22"/>
          <w:szCs w:val="22"/>
        </w:rPr>
        <w:t>kalfs</w:t>
      </w:r>
      <w:proofErr w:type="spellEnd"/>
      <w:r w:rsidRPr="007E769B">
        <w:rPr>
          <w:sz w:val="22"/>
          <w:szCs w:val="22"/>
        </w:rPr>
        <w:t xml:space="preserve"> serum en HEPES </w:t>
      </w:r>
      <w:proofErr w:type="spellStart"/>
      <w:r w:rsidRPr="007E769B">
        <w:rPr>
          <w:sz w:val="22"/>
          <w:szCs w:val="22"/>
        </w:rPr>
        <w:t>buffered</w:t>
      </w:r>
      <w:proofErr w:type="spellEnd"/>
      <w:r w:rsidRPr="007E769B">
        <w:rPr>
          <w:sz w:val="22"/>
          <w:szCs w:val="22"/>
        </w:rPr>
        <w:t xml:space="preserve"> saline). De positieve controle </w:t>
      </w:r>
      <w:r w:rsidR="002200B1">
        <w:rPr>
          <w:sz w:val="22"/>
          <w:szCs w:val="22"/>
        </w:rPr>
        <w:t>bestond uit toevoeging van cortisol</w:t>
      </w:r>
      <w:r w:rsidRPr="007E769B">
        <w:rPr>
          <w:sz w:val="22"/>
          <w:szCs w:val="22"/>
        </w:rPr>
        <w:t>, de n</w:t>
      </w:r>
      <w:r w:rsidR="002200B1">
        <w:rPr>
          <w:sz w:val="22"/>
          <w:szCs w:val="22"/>
        </w:rPr>
        <w:t xml:space="preserve">egatieve controle uit toevoeging van </w:t>
      </w:r>
      <w:r>
        <w:rPr>
          <w:sz w:val="22"/>
          <w:szCs w:val="22"/>
        </w:rPr>
        <w:t>water. D</w:t>
      </w:r>
      <w:r w:rsidRPr="007E769B">
        <w:rPr>
          <w:sz w:val="22"/>
          <w:szCs w:val="22"/>
        </w:rPr>
        <w:t xml:space="preserve">e </w:t>
      </w:r>
      <w:r w:rsidR="002200B1">
        <w:rPr>
          <w:sz w:val="22"/>
          <w:szCs w:val="22"/>
        </w:rPr>
        <w:t xml:space="preserve">drie experimentele condities waren het rattenstresshormoon </w:t>
      </w:r>
      <w:r w:rsidRPr="007E769B">
        <w:rPr>
          <w:sz w:val="22"/>
          <w:szCs w:val="22"/>
        </w:rPr>
        <w:t xml:space="preserve">corticosteron, </w:t>
      </w:r>
      <w:r w:rsidR="002200B1">
        <w:rPr>
          <w:sz w:val="22"/>
          <w:szCs w:val="22"/>
        </w:rPr>
        <w:t xml:space="preserve">de antagonist </w:t>
      </w:r>
      <w:proofErr w:type="spellStart"/>
      <w:r w:rsidRPr="007E769B">
        <w:rPr>
          <w:sz w:val="22"/>
          <w:szCs w:val="22"/>
        </w:rPr>
        <w:t>Mifepriston</w:t>
      </w:r>
      <w:proofErr w:type="spellEnd"/>
      <w:r w:rsidRPr="007E769B">
        <w:rPr>
          <w:sz w:val="22"/>
          <w:szCs w:val="22"/>
        </w:rPr>
        <w:t xml:space="preserve"> en </w:t>
      </w:r>
      <w:r w:rsidR="002200B1">
        <w:rPr>
          <w:sz w:val="22"/>
          <w:szCs w:val="22"/>
        </w:rPr>
        <w:t xml:space="preserve">de antagonist </w:t>
      </w:r>
      <w:r w:rsidRPr="007E769B">
        <w:rPr>
          <w:sz w:val="22"/>
          <w:szCs w:val="22"/>
        </w:rPr>
        <w:t xml:space="preserve">17AAG. </w:t>
      </w:r>
      <w:r w:rsidR="002200B1">
        <w:rPr>
          <w:sz w:val="22"/>
          <w:szCs w:val="22"/>
        </w:rPr>
        <w:t>De cellen zijn van het medium ontdaan met PBS bestaande uit 4% Paraformaldehyde. Voor de celpreparaten</w:t>
      </w:r>
      <w:r w:rsidRPr="007E769B">
        <w:rPr>
          <w:sz w:val="22"/>
          <w:szCs w:val="22"/>
        </w:rPr>
        <w:t xml:space="preserve"> is er gebruikgemaakt van </w:t>
      </w:r>
      <w:r w:rsidR="002200B1">
        <w:rPr>
          <w:sz w:val="22"/>
          <w:szCs w:val="22"/>
        </w:rPr>
        <w:t xml:space="preserve">een </w:t>
      </w:r>
      <w:proofErr w:type="spellStart"/>
      <w:r w:rsidR="002200B1">
        <w:rPr>
          <w:sz w:val="22"/>
          <w:szCs w:val="22"/>
        </w:rPr>
        <w:t>VECTAshield</w:t>
      </w:r>
      <w:proofErr w:type="spellEnd"/>
      <w:r w:rsidR="002200B1">
        <w:rPr>
          <w:sz w:val="22"/>
          <w:szCs w:val="22"/>
        </w:rPr>
        <w:t xml:space="preserve"> met DAPI.</w:t>
      </w:r>
    </w:p>
    <w:p w:rsidR="00AC60A5" w:rsidRDefault="007E769B" w:rsidP="007E769B">
      <w:pPr>
        <w:spacing w:line="360" w:lineRule="auto"/>
        <w:rPr>
          <w:sz w:val="22"/>
          <w:szCs w:val="22"/>
        </w:rPr>
      </w:pPr>
      <w:r w:rsidRPr="007E769B">
        <w:rPr>
          <w:sz w:val="22"/>
          <w:szCs w:val="22"/>
        </w:rPr>
        <w:t xml:space="preserve"> </w:t>
      </w:r>
      <w:r w:rsidRPr="007E769B">
        <w:rPr>
          <w:sz w:val="22"/>
          <w:szCs w:val="22"/>
        </w:rPr>
        <w:br/>
      </w:r>
      <w:r>
        <w:rPr>
          <w:b/>
          <w:bCs/>
          <w:sz w:val="22"/>
          <w:szCs w:val="22"/>
        </w:rPr>
        <w:t>Celkweek</w:t>
      </w:r>
      <w:r w:rsidRPr="007E769B">
        <w:rPr>
          <w:sz w:val="22"/>
          <w:szCs w:val="22"/>
        </w:rPr>
        <w:br/>
      </w:r>
      <w:r w:rsidR="0078003E" w:rsidRPr="007E769B">
        <w:rPr>
          <w:sz w:val="22"/>
          <w:szCs w:val="22"/>
        </w:rPr>
        <w:t xml:space="preserve">In elk van de 24 wellen is 1 ml celsuspensie </w:t>
      </w:r>
      <w:r w:rsidR="00F0771D">
        <w:rPr>
          <w:sz w:val="22"/>
          <w:szCs w:val="22"/>
        </w:rPr>
        <w:t xml:space="preserve">aan het DMEM medium </w:t>
      </w:r>
      <w:r w:rsidR="0078003E" w:rsidRPr="007E769B">
        <w:rPr>
          <w:sz w:val="22"/>
          <w:szCs w:val="22"/>
        </w:rPr>
        <w:t>toegevoegd.</w:t>
      </w:r>
      <w:r w:rsidR="0078003E">
        <w:rPr>
          <w:sz w:val="22"/>
          <w:szCs w:val="22"/>
        </w:rPr>
        <w:t xml:space="preserve"> De twee platen </w:t>
      </w:r>
      <w:r w:rsidR="00AC60A5">
        <w:rPr>
          <w:sz w:val="22"/>
          <w:szCs w:val="22"/>
        </w:rPr>
        <w:t>waren te verdelen in zes horizontale rijen met wellen</w:t>
      </w:r>
      <w:r w:rsidRPr="007E769B">
        <w:rPr>
          <w:sz w:val="22"/>
          <w:szCs w:val="22"/>
        </w:rPr>
        <w:t>. De bov</w:t>
      </w:r>
      <w:r w:rsidR="002200B1">
        <w:rPr>
          <w:sz w:val="22"/>
          <w:szCs w:val="22"/>
        </w:rPr>
        <w:t xml:space="preserve">enste rij van de wellen bevatte de </w:t>
      </w:r>
      <w:r w:rsidRPr="007E769B">
        <w:rPr>
          <w:sz w:val="22"/>
          <w:szCs w:val="22"/>
        </w:rPr>
        <w:t>negatieve controle met water. De twe</w:t>
      </w:r>
      <w:r w:rsidR="002200B1">
        <w:rPr>
          <w:sz w:val="22"/>
          <w:szCs w:val="22"/>
        </w:rPr>
        <w:t xml:space="preserve">ede rij bevatte </w:t>
      </w:r>
      <w:r w:rsidRPr="007E769B">
        <w:rPr>
          <w:sz w:val="22"/>
          <w:szCs w:val="22"/>
        </w:rPr>
        <w:t>de positieve controle met cortisol. De onderste rij bevat</w:t>
      </w:r>
      <w:r w:rsidR="002200B1">
        <w:rPr>
          <w:sz w:val="22"/>
          <w:szCs w:val="22"/>
        </w:rPr>
        <w:t>te</w:t>
      </w:r>
      <w:r w:rsidRPr="007E769B">
        <w:rPr>
          <w:sz w:val="22"/>
          <w:szCs w:val="22"/>
        </w:rPr>
        <w:t xml:space="preserve"> </w:t>
      </w:r>
      <w:r w:rsidR="002200B1">
        <w:rPr>
          <w:sz w:val="22"/>
          <w:szCs w:val="22"/>
        </w:rPr>
        <w:t>elk een van de drie experimentele condities.</w:t>
      </w:r>
      <w:r w:rsidR="00AC60A5">
        <w:rPr>
          <w:sz w:val="22"/>
          <w:szCs w:val="22"/>
        </w:rPr>
        <w:t xml:space="preserve"> </w:t>
      </w:r>
    </w:p>
    <w:p w:rsidR="002200B1" w:rsidRDefault="00F0771D" w:rsidP="007E769B">
      <w:pPr>
        <w:spacing w:line="360" w:lineRule="auto"/>
        <w:rPr>
          <w:sz w:val="22"/>
          <w:szCs w:val="22"/>
        </w:rPr>
      </w:pPr>
      <w:r>
        <w:rPr>
          <w:sz w:val="22"/>
          <w:szCs w:val="22"/>
        </w:rPr>
        <w:t>Een uur voor de translocatie-</w:t>
      </w:r>
      <w:r w:rsidR="00AC60A5" w:rsidRPr="007E769B">
        <w:rPr>
          <w:sz w:val="22"/>
          <w:szCs w:val="22"/>
        </w:rPr>
        <w:t xml:space="preserve">assay is het </w:t>
      </w:r>
      <w:r>
        <w:rPr>
          <w:sz w:val="22"/>
          <w:szCs w:val="22"/>
        </w:rPr>
        <w:t xml:space="preserve">DMEM </w:t>
      </w:r>
      <w:r w:rsidR="00AC60A5" w:rsidRPr="007E769B">
        <w:rPr>
          <w:sz w:val="22"/>
          <w:szCs w:val="22"/>
        </w:rPr>
        <w:t xml:space="preserve">medium </w:t>
      </w:r>
      <w:r>
        <w:rPr>
          <w:sz w:val="22"/>
          <w:szCs w:val="22"/>
        </w:rPr>
        <w:t xml:space="preserve">ververst. Bij de experimentele condities met antagonisten </w:t>
      </w:r>
      <w:r w:rsidR="00AC60A5" w:rsidRPr="007E769B">
        <w:rPr>
          <w:sz w:val="22"/>
          <w:szCs w:val="22"/>
        </w:rPr>
        <w:t xml:space="preserve">is de gekozen antagonist (17AAG of </w:t>
      </w:r>
      <w:proofErr w:type="spellStart"/>
      <w:r w:rsidR="00AC60A5" w:rsidRPr="007E769B">
        <w:rPr>
          <w:sz w:val="22"/>
          <w:szCs w:val="22"/>
        </w:rPr>
        <w:t>Mifepriston</w:t>
      </w:r>
      <w:proofErr w:type="spellEnd"/>
      <w:r w:rsidR="00AC60A5" w:rsidRPr="007E769B">
        <w:rPr>
          <w:sz w:val="22"/>
          <w:szCs w:val="22"/>
        </w:rPr>
        <w:t xml:space="preserve">) toegevoegd aan het medium </w:t>
      </w:r>
      <w:r>
        <w:rPr>
          <w:sz w:val="22"/>
          <w:szCs w:val="22"/>
        </w:rPr>
        <w:t>in een 37 graden incubator (</w:t>
      </w:r>
      <w:r w:rsidR="00AC60A5" w:rsidRPr="007E769B">
        <w:rPr>
          <w:sz w:val="22"/>
          <w:szCs w:val="22"/>
        </w:rPr>
        <w:t>5% CO</w:t>
      </w:r>
      <w:r w:rsidR="00AC60A5" w:rsidRPr="007E769B">
        <w:rPr>
          <w:sz w:val="22"/>
          <w:szCs w:val="22"/>
          <w:vertAlign w:val="subscript"/>
        </w:rPr>
        <w:t>2</w:t>
      </w:r>
      <w:r>
        <w:rPr>
          <w:sz w:val="22"/>
          <w:szCs w:val="22"/>
        </w:rPr>
        <w:t xml:space="preserve">). Vervolgens zijn de cellen met cortisol </w:t>
      </w:r>
      <w:r w:rsidR="00AC60A5" w:rsidRPr="007E769B">
        <w:rPr>
          <w:sz w:val="22"/>
          <w:szCs w:val="22"/>
        </w:rPr>
        <w:t>of corticos</w:t>
      </w:r>
      <w:r>
        <w:rPr>
          <w:sz w:val="22"/>
          <w:szCs w:val="22"/>
        </w:rPr>
        <w:t xml:space="preserve">teron aan de desbetreffende wellen toegevoegd en </w:t>
      </w:r>
      <w:r w:rsidR="00AC60A5" w:rsidRPr="007E769B">
        <w:rPr>
          <w:sz w:val="22"/>
          <w:szCs w:val="22"/>
        </w:rPr>
        <w:t>30 minuten bij 37 graden en 5% CO</w:t>
      </w:r>
      <w:r w:rsidR="00AC60A5" w:rsidRPr="007E769B">
        <w:rPr>
          <w:sz w:val="22"/>
          <w:szCs w:val="22"/>
          <w:vertAlign w:val="subscript"/>
        </w:rPr>
        <w:t>2</w:t>
      </w:r>
      <w:r w:rsidR="00AC60A5" w:rsidRPr="007E769B">
        <w:rPr>
          <w:sz w:val="22"/>
          <w:szCs w:val="22"/>
        </w:rPr>
        <w:t xml:space="preserve"> </w:t>
      </w:r>
      <w:proofErr w:type="spellStart"/>
      <w:r w:rsidR="00AC60A5" w:rsidRPr="007E769B">
        <w:rPr>
          <w:sz w:val="22"/>
          <w:szCs w:val="22"/>
        </w:rPr>
        <w:t>geïncubeerd</w:t>
      </w:r>
      <w:proofErr w:type="spellEnd"/>
      <w:r w:rsidR="00AC60A5" w:rsidRPr="007E769B">
        <w:rPr>
          <w:sz w:val="22"/>
          <w:szCs w:val="22"/>
        </w:rPr>
        <w:t>.</w:t>
      </w:r>
    </w:p>
    <w:p w:rsidR="00A1095D" w:rsidRDefault="007E769B" w:rsidP="007E769B">
      <w:pPr>
        <w:spacing w:line="360" w:lineRule="auto"/>
        <w:rPr>
          <w:b/>
          <w:bCs/>
          <w:sz w:val="22"/>
          <w:szCs w:val="22"/>
        </w:rPr>
      </w:pPr>
      <w:r w:rsidRPr="007E769B">
        <w:rPr>
          <w:sz w:val="22"/>
          <w:szCs w:val="22"/>
        </w:rPr>
        <w:br/>
      </w:r>
      <w:r w:rsidR="00A1095D">
        <w:rPr>
          <w:b/>
          <w:bCs/>
          <w:sz w:val="22"/>
          <w:szCs w:val="22"/>
        </w:rPr>
        <w:t>Celpreparaten</w:t>
      </w:r>
      <w:r w:rsidRPr="007E769B">
        <w:rPr>
          <w:sz w:val="22"/>
          <w:szCs w:val="22"/>
        </w:rPr>
        <w:br/>
        <w:t>Na het incuberen is het</w:t>
      </w:r>
      <w:r w:rsidR="00F0771D">
        <w:rPr>
          <w:sz w:val="22"/>
          <w:szCs w:val="22"/>
        </w:rPr>
        <w:t xml:space="preserve"> DMEM medium verwijderd, en werden </w:t>
      </w:r>
      <w:r w:rsidRPr="007E769B">
        <w:rPr>
          <w:sz w:val="22"/>
          <w:szCs w:val="22"/>
        </w:rPr>
        <w:t>de celle</w:t>
      </w:r>
      <w:r w:rsidR="00F0771D">
        <w:rPr>
          <w:sz w:val="22"/>
          <w:szCs w:val="22"/>
        </w:rPr>
        <w:t>n 5 mi</w:t>
      </w:r>
      <w:r w:rsidR="00A1095D">
        <w:rPr>
          <w:sz w:val="22"/>
          <w:szCs w:val="22"/>
        </w:rPr>
        <w:t>n gewassen met</w:t>
      </w:r>
      <w:r w:rsidR="00F0771D">
        <w:rPr>
          <w:sz w:val="22"/>
          <w:szCs w:val="22"/>
        </w:rPr>
        <w:t xml:space="preserve"> PBS. Vervolgens</w:t>
      </w:r>
      <w:r w:rsidRPr="007E769B">
        <w:rPr>
          <w:sz w:val="22"/>
          <w:szCs w:val="22"/>
        </w:rPr>
        <w:t xml:space="preserve"> is 300 microliter PFA</w:t>
      </w:r>
      <w:r w:rsidR="00A1095D">
        <w:rPr>
          <w:sz w:val="22"/>
          <w:szCs w:val="22"/>
        </w:rPr>
        <w:t xml:space="preserve"> toegevoegd om </w:t>
      </w:r>
      <w:r w:rsidR="00F0771D">
        <w:rPr>
          <w:sz w:val="22"/>
          <w:szCs w:val="22"/>
        </w:rPr>
        <w:t>10 minuten</w:t>
      </w:r>
      <w:r w:rsidR="00A1095D">
        <w:rPr>
          <w:sz w:val="22"/>
          <w:szCs w:val="22"/>
        </w:rPr>
        <w:t xml:space="preserve"> in te werken</w:t>
      </w:r>
      <w:r w:rsidR="00F0771D">
        <w:rPr>
          <w:sz w:val="22"/>
          <w:szCs w:val="22"/>
        </w:rPr>
        <w:t xml:space="preserve">. Na de PFA oplossing te hebben verwijderd werden de cellen </w:t>
      </w:r>
      <w:r w:rsidRPr="007E769B">
        <w:rPr>
          <w:sz w:val="22"/>
          <w:szCs w:val="22"/>
        </w:rPr>
        <w:t>nog 2 maal gewassen met 500 microliter PBS. Ten slot</w:t>
      </w:r>
      <w:r w:rsidR="00F0771D">
        <w:rPr>
          <w:sz w:val="22"/>
          <w:szCs w:val="22"/>
        </w:rPr>
        <w:t xml:space="preserve">te </w:t>
      </w:r>
      <w:r w:rsidR="00A1095D">
        <w:rPr>
          <w:sz w:val="22"/>
          <w:szCs w:val="22"/>
        </w:rPr>
        <w:t xml:space="preserve">konden er preparaten van gemaakt worden, hiervoor werd </w:t>
      </w:r>
      <w:r w:rsidR="00F0771D">
        <w:rPr>
          <w:sz w:val="22"/>
          <w:szCs w:val="22"/>
        </w:rPr>
        <w:t xml:space="preserve">20 microliter </w:t>
      </w:r>
      <w:proofErr w:type="spellStart"/>
      <w:r w:rsidR="00F0771D">
        <w:rPr>
          <w:sz w:val="22"/>
          <w:szCs w:val="22"/>
        </w:rPr>
        <w:t>VECTAshield</w:t>
      </w:r>
      <w:proofErr w:type="spellEnd"/>
      <w:r w:rsidR="00A1095D">
        <w:rPr>
          <w:sz w:val="22"/>
          <w:szCs w:val="22"/>
        </w:rPr>
        <w:t xml:space="preserve"> op een voorwerpglas gedruppeld en het objectglaasje</w:t>
      </w:r>
      <w:r w:rsidRPr="007E769B">
        <w:rPr>
          <w:sz w:val="22"/>
          <w:szCs w:val="22"/>
        </w:rPr>
        <w:t xml:space="preserve"> uit de 12 </w:t>
      </w:r>
      <w:proofErr w:type="spellStart"/>
      <w:r w:rsidRPr="007E769B">
        <w:rPr>
          <w:sz w:val="22"/>
          <w:szCs w:val="22"/>
        </w:rPr>
        <w:t>wells</w:t>
      </w:r>
      <w:proofErr w:type="spellEnd"/>
      <w:r w:rsidRPr="007E769B">
        <w:rPr>
          <w:sz w:val="22"/>
          <w:szCs w:val="22"/>
        </w:rPr>
        <w:t xml:space="preserve"> plat</w:t>
      </w:r>
      <w:r w:rsidR="00A1095D">
        <w:rPr>
          <w:sz w:val="22"/>
          <w:szCs w:val="22"/>
        </w:rPr>
        <w:t>en er omgekeerd bovenop geplaatst.</w:t>
      </w:r>
      <w:r w:rsidRPr="007E769B">
        <w:rPr>
          <w:sz w:val="22"/>
          <w:szCs w:val="22"/>
        </w:rPr>
        <w:br/>
      </w:r>
    </w:p>
    <w:p w:rsidR="007E769B" w:rsidRPr="0078003E" w:rsidRDefault="007E769B" w:rsidP="007E769B">
      <w:pPr>
        <w:spacing w:line="360" w:lineRule="auto"/>
        <w:rPr>
          <w:sz w:val="22"/>
          <w:szCs w:val="22"/>
        </w:rPr>
      </w:pPr>
      <w:r w:rsidRPr="007E769B">
        <w:rPr>
          <w:b/>
          <w:bCs/>
          <w:sz w:val="22"/>
          <w:szCs w:val="22"/>
        </w:rPr>
        <w:t xml:space="preserve">Fluorescentiemicroscoop </w:t>
      </w:r>
      <w:r w:rsidRPr="007E769B">
        <w:rPr>
          <w:sz w:val="22"/>
          <w:szCs w:val="22"/>
        </w:rPr>
        <w:br/>
      </w:r>
      <w:r w:rsidR="008F7054">
        <w:rPr>
          <w:sz w:val="22"/>
          <w:szCs w:val="22"/>
        </w:rPr>
        <w:t>Met behulp</w:t>
      </w:r>
      <w:r w:rsidRPr="007E769B">
        <w:rPr>
          <w:sz w:val="22"/>
          <w:szCs w:val="22"/>
        </w:rPr>
        <w:t xml:space="preserve"> van </w:t>
      </w:r>
      <w:r w:rsidR="008F7054">
        <w:rPr>
          <w:sz w:val="22"/>
          <w:szCs w:val="22"/>
        </w:rPr>
        <w:t>een fluorescentiemicroscoop werden er</w:t>
      </w:r>
      <w:r w:rsidRPr="007E769B">
        <w:rPr>
          <w:sz w:val="22"/>
          <w:szCs w:val="22"/>
        </w:rPr>
        <w:t xml:space="preserve"> f</w:t>
      </w:r>
      <w:r w:rsidR="008F7054">
        <w:rPr>
          <w:sz w:val="22"/>
          <w:szCs w:val="22"/>
        </w:rPr>
        <w:t xml:space="preserve">oto's van de celpreparaten </w:t>
      </w:r>
      <w:r w:rsidRPr="007E769B">
        <w:rPr>
          <w:sz w:val="22"/>
          <w:szCs w:val="22"/>
        </w:rPr>
        <w:t>ge</w:t>
      </w:r>
      <w:r w:rsidR="008F7054">
        <w:rPr>
          <w:sz w:val="22"/>
          <w:szCs w:val="22"/>
        </w:rPr>
        <w:t xml:space="preserve">maakt met twee filters, namelijk </w:t>
      </w:r>
      <w:r w:rsidR="000545A8">
        <w:rPr>
          <w:sz w:val="22"/>
          <w:szCs w:val="22"/>
        </w:rPr>
        <w:t xml:space="preserve">een voor </w:t>
      </w:r>
      <w:r w:rsidR="008F7054">
        <w:rPr>
          <w:sz w:val="22"/>
          <w:szCs w:val="22"/>
        </w:rPr>
        <w:t xml:space="preserve">DAPI en </w:t>
      </w:r>
      <w:r w:rsidR="000545A8">
        <w:rPr>
          <w:sz w:val="22"/>
          <w:szCs w:val="22"/>
        </w:rPr>
        <w:t xml:space="preserve">een voor </w:t>
      </w:r>
      <w:r w:rsidR="008F7054">
        <w:rPr>
          <w:sz w:val="22"/>
          <w:szCs w:val="22"/>
        </w:rPr>
        <w:t>GFP</w:t>
      </w:r>
      <w:r w:rsidRPr="007E769B">
        <w:rPr>
          <w:sz w:val="22"/>
          <w:szCs w:val="22"/>
        </w:rPr>
        <w:t xml:space="preserve">. De DAPI preparaten werden aangestraald met </w:t>
      </w:r>
      <w:proofErr w:type="spellStart"/>
      <w:r w:rsidRPr="007E769B">
        <w:rPr>
          <w:sz w:val="22"/>
          <w:szCs w:val="22"/>
        </w:rPr>
        <w:t>UV-licht</w:t>
      </w:r>
      <w:proofErr w:type="spellEnd"/>
      <w:r w:rsidRPr="007E769B">
        <w:rPr>
          <w:sz w:val="22"/>
          <w:szCs w:val="22"/>
        </w:rPr>
        <w:t xml:space="preserve">, en de GFP preparaten met blauw licht. </w:t>
      </w:r>
      <w:r w:rsidR="008F7054">
        <w:rPr>
          <w:sz w:val="22"/>
          <w:szCs w:val="22"/>
        </w:rPr>
        <w:t>Per filter werden er drie foto’s gemaakt, per preparaat zijn er in totaal dus zes</w:t>
      </w:r>
      <w:r w:rsidRPr="007E769B">
        <w:rPr>
          <w:sz w:val="22"/>
          <w:szCs w:val="22"/>
        </w:rPr>
        <w:t xml:space="preserve"> foto's gemaakt.  </w:t>
      </w:r>
      <w:r w:rsidR="008F7054">
        <w:rPr>
          <w:sz w:val="22"/>
          <w:szCs w:val="22"/>
        </w:rPr>
        <w:t xml:space="preserve">Er werd gebruik gemaakt van een 10x vergroting en een </w:t>
      </w:r>
      <w:proofErr w:type="spellStart"/>
      <w:r w:rsidR="008F7054">
        <w:rPr>
          <w:sz w:val="22"/>
          <w:szCs w:val="22"/>
        </w:rPr>
        <w:t>gain</w:t>
      </w:r>
      <w:proofErr w:type="spellEnd"/>
      <w:r w:rsidR="008F7054">
        <w:rPr>
          <w:sz w:val="22"/>
          <w:szCs w:val="22"/>
        </w:rPr>
        <w:t xml:space="preserve"> is variërend</w:t>
      </w:r>
      <w:r w:rsidRPr="007E769B">
        <w:rPr>
          <w:sz w:val="22"/>
          <w:szCs w:val="22"/>
        </w:rPr>
        <w:t xml:space="preserve"> tussen 0.30-0.50. </w:t>
      </w:r>
      <w:r w:rsidRPr="007E769B">
        <w:rPr>
          <w:sz w:val="22"/>
          <w:szCs w:val="22"/>
        </w:rPr>
        <w:br/>
      </w:r>
    </w:p>
    <w:p w:rsidR="007E769B" w:rsidRPr="007E769B" w:rsidRDefault="008F7054" w:rsidP="007E769B">
      <w:pPr>
        <w:spacing w:line="360" w:lineRule="auto"/>
        <w:rPr>
          <w:sz w:val="22"/>
          <w:szCs w:val="22"/>
        </w:rPr>
      </w:pPr>
      <w:r>
        <w:rPr>
          <w:b/>
          <w:bCs/>
          <w:sz w:val="22"/>
          <w:szCs w:val="22"/>
        </w:rPr>
        <w:t>Translocatie-assay en analyse</w:t>
      </w:r>
    </w:p>
    <w:p w:rsidR="007E769B" w:rsidRPr="007E769B" w:rsidRDefault="00712248" w:rsidP="007E769B">
      <w:pPr>
        <w:spacing w:line="360" w:lineRule="auto"/>
        <w:rPr>
          <w:sz w:val="22"/>
          <w:szCs w:val="22"/>
        </w:rPr>
      </w:pPr>
      <w:r>
        <w:rPr>
          <w:sz w:val="22"/>
          <w:szCs w:val="22"/>
        </w:rPr>
        <w:t>M</w:t>
      </w:r>
      <w:r w:rsidR="007E769B" w:rsidRPr="007E769B">
        <w:rPr>
          <w:sz w:val="22"/>
          <w:szCs w:val="22"/>
        </w:rPr>
        <w:t xml:space="preserve">et </w:t>
      </w:r>
      <w:r>
        <w:rPr>
          <w:sz w:val="22"/>
          <w:szCs w:val="22"/>
        </w:rPr>
        <w:t xml:space="preserve">het </w:t>
      </w:r>
      <w:r w:rsidR="007E769B" w:rsidRPr="007E769B">
        <w:rPr>
          <w:sz w:val="22"/>
          <w:szCs w:val="22"/>
        </w:rPr>
        <w:t xml:space="preserve">programma </w:t>
      </w:r>
      <w:proofErr w:type="spellStart"/>
      <w:r w:rsidR="007E769B" w:rsidRPr="002F3B19">
        <w:rPr>
          <w:i/>
          <w:sz w:val="22"/>
          <w:szCs w:val="22"/>
        </w:rPr>
        <w:t>ImageJ</w:t>
      </w:r>
      <w:proofErr w:type="spellEnd"/>
      <w:r>
        <w:rPr>
          <w:sz w:val="22"/>
          <w:szCs w:val="22"/>
        </w:rPr>
        <w:t xml:space="preserve"> werden de foto’s geanalyseerd</w:t>
      </w:r>
      <w:r w:rsidR="007E769B" w:rsidRPr="007E769B">
        <w:rPr>
          <w:sz w:val="22"/>
          <w:szCs w:val="22"/>
        </w:rPr>
        <w:t xml:space="preserve">. </w:t>
      </w:r>
      <w:r w:rsidR="002F3B19">
        <w:rPr>
          <w:sz w:val="22"/>
          <w:szCs w:val="22"/>
        </w:rPr>
        <w:t>De</w:t>
      </w:r>
      <w:r w:rsidR="007E769B" w:rsidRPr="007E769B">
        <w:rPr>
          <w:sz w:val="22"/>
          <w:szCs w:val="22"/>
        </w:rPr>
        <w:t xml:space="preserve"> afbeel</w:t>
      </w:r>
      <w:r w:rsidR="002F3B19">
        <w:rPr>
          <w:sz w:val="22"/>
          <w:szCs w:val="22"/>
        </w:rPr>
        <w:t xml:space="preserve">dingen van DAPI en GFP werden per preparaat </w:t>
      </w:r>
      <w:proofErr w:type="spellStart"/>
      <w:r w:rsidR="002F3B19">
        <w:rPr>
          <w:sz w:val="22"/>
          <w:szCs w:val="22"/>
        </w:rPr>
        <w:t>gemerged</w:t>
      </w:r>
      <w:proofErr w:type="spellEnd"/>
      <w:r w:rsidR="002F3B19">
        <w:rPr>
          <w:sz w:val="22"/>
          <w:szCs w:val="22"/>
        </w:rPr>
        <w:t xml:space="preserve">. </w:t>
      </w:r>
      <w:r w:rsidR="007E769B" w:rsidRPr="007E769B">
        <w:rPr>
          <w:sz w:val="22"/>
          <w:szCs w:val="22"/>
        </w:rPr>
        <w:t xml:space="preserve">De </w:t>
      </w:r>
      <w:r w:rsidR="002F3B19">
        <w:rPr>
          <w:sz w:val="22"/>
          <w:szCs w:val="22"/>
        </w:rPr>
        <w:t>cellen werden geteld, hierbij werden drie varianten onderscheiden: geen translocatie; partiele translocatie; en volledige translocatie</w:t>
      </w:r>
      <w:r>
        <w:rPr>
          <w:sz w:val="22"/>
          <w:szCs w:val="22"/>
        </w:rPr>
        <w:t>.</w:t>
      </w:r>
      <w:r w:rsidR="007E769B" w:rsidRPr="007E769B">
        <w:rPr>
          <w:sz w:val="22"/>
          <w:szCs w:val="22"/>
        </w:rPr>
        <w:t xml:space="preserve"> Per controle en experimentele conditie zijn minimaal 50 cellen geteld per </w:t>
      </w:r>
      <w:r>
        <w:rPr>
          <w:sz w:val="22"/>
          <w:szCs w:val="22"/>
        </w:rPr>
        <w:t>onderzoeks</w:t>
      </w:r>
      <w:r w:rsidR="007E769B" w:rsidRPr="007E769B">
        <w:rPr>
          <w:sz w:val="22"/>
          <w:szCs w:val="22"/>
        </w:rPr>
        <w:t xml:space="preserve">duo. </w:t>
      </w:r>
      <w:r w:rsidR="002F3B19">
        <w:rPr>
          <w:sz w:val="22"/>
          <w:szCs w:val="22"/>
        </w:rPr>
        <w:t xml:space="preserve">Uit de data van het volledige onderzoeksteam </w:t>
      </w:r>
      <w:r w:rsidR="007E769B" w:rsidRPr="007E769B">
        <w:rPr>
          <w:sz w:val="22"/>
          <w:szCs w:val="22"/>
        </w:rPr>
        <w:t>is een gemiddelde en standaarddeviatie berekend voor de positieve controle, negatieve co</w:t>
      </w:r>
      <w:r w:rsidR="002F3B19">
        <w:rPr>
          <w:sz w:val="22"/>
          <w:szCs w:val="22"/>
        </w:rPr>
        <w:t>ntrole, conditie corticosteron</w:t>
      </w:r>
      <w:r w:rsidR="007E769B" w:rsidRPr="007E769B">
        <w:rPr>
          <w:sz w:val="22"/>
          <w:szCs w:val="22"/>
        </w:rPr>
        <w:t xml:space="preserve">, </w:t>
      </w:r>
      <w:r w:rsidR="002F3B19">
        <w:rPr>
          <w:sz w:val="22"/>
          <w:szCs w:val="22"/>
        </w:rPr>
        <w:t xml:space="preserve">conditie </w:t>
      </w:r>
      <w:proofErr w:type="spellStart"/>
      <w:r w:rsidR="002F3B19">
        <w:rPr>
          <w:sz w:val="22"/>
          <w:szCs w:val="22"/>
        </w:rPr>
        <w:t>Mifepriston</w:t>
      </w:r>
      <w:proofErr w:type="spellEnd"/>
      <w:r w:rsidR="002F3B19">
        <w:rPr>
          <w:sz w:val="22"/>
          <w:szCs w:val="22"/>
        </w:rPr>
        <w:t xml:space="preserve">, </w:t>
      </w:r>
      <w:r w:rsidR="007E769B" w:rsidRPr="007E769B">
        <w:rPr>
          <w:sz w:val="22"/>
          <w:szCs w:val="22"/>
        </w:rPr>
        <w:t xml:space="preserve">en </w:t>
      </w:r>
      <w:r w:rsidR="002F3B19">
        <w:rPr>
          <w:sz w:val="22"/>
          <w:szCs w:val="22"/>
        </w:rPr>
        <w:t>conditie 17AAG.</w:t>
      </w:r>
    </w:p>
    <w:p w:rsidR="007E769B" w:rsidRPr="007E769B" w:rsidRDefault="007E769B" w:rsidP="007E769B">
      <w:pPr>
        <w:spacing w:line="360" w:lineRule="auto"/>
        <w:rPr>
          <w:sz w:val="22"/>
          <w:szCs w:val="22"/>
        </w:rPr>
      </w:pPr>
    </w:p>
    <w:p w:rsidR="001D3FE8" w:rsidRDefault="002F3B19" w:rsidP="007E769B">
      <w:pPr>
        <w:spacing w:line="360" w:lineRule="auto"/>
        <w:rPr>
          <w:sz w:val="22"/>
          <w:szCs w:val="22"/>
        </w:rPr>
      </w:pPr>
      <w:r w:rsidRPr="007E769B">
        <w:rPr>
          <w:noProof/>
          <w:sz w:val="22"/>
          <w:szCs w:val="22"/>
          <w:lang w:val="en-US" w:eastAsia="nl-NL"/>
        </w:rPr>
        <w:drawing>
          <wp:anchor distT="0" distB="0" distL="0" distR="0" simplePos="0" relativeHeight="251660288" behindDoc="0" locked="0" layoutInCell="1" allowOverlap="1">
            <wp:simplePos x="0" y="0"/>
            <wp:positionH relativeFrom="column">
              <wp:posOffset>3609340</wp:posOffset>
            </wp:positionH>
            <wp:positionV relativeFrom="paragraph">
              <wp:posOffset>47625</wp:posOffset>
            </wp:positionV>
            <wp:extent cx="1943735" cy="821690"/>
            <wp:effectExtent l="0" t="0" r="12065" b="0"/>
            <wp:wrapTight wrapText="bothSides">
              <wp:wrapPolygon edited="0">
                <wp:start x="0" y="0"/>
                <wp:lineTo x="0" y="20699"/>
                <wp:lineTo x="21452" y="20699"/>
                <wp:lineTo x="21452" y="0"/>
                <wp:lineTo x="0" y="0"/>
              </wp:wrapPolygon>
            </wp:wrapTight>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7"/>
                    <a:stretch>
                      <a:fillRect/>
                    </a:stretch>
                  </pic:blipFill>
                  <pic:spPr bwMode="auto">
                    <a:xfrm>
                      <a:off x="0" y="0"/>
                      <a:ext cx="1943735" cy="821690"/>
                    </a:xfrm>
                    <a:prstGeom prst="rect">
                      <a:avLst/>
                    </a:prstGeom>
                    <a:noFill/>
                    <a:ln w="9525">
                      <a:noFill/>
                      <a:miter lim="800000"/>
                      <a:headEnd/>
                      <a:tailEnd/>
                    </a:ln>
                  </pic:spPr>
                </pic:pic>
              </a:graphicData>
            </a:graphic>
          </wp:anchor>
        </w:drawing>
      </w:r>
      <w:r>
        <w:rPr>
          <w:sz w:val="22"/>
          <w:szCs w:val="22"/>
        </w:rPr>
        <w:t>Uit de data van de gemiddelden</w:t>
      </w:r>
      <w:r w:rsidR="007E769B" w:rsidRPr="007E769B">
        <w:rPr>
          <w:sz w:val="22"/>
          <w:szCs w:val="22"/>
        </w:rPr>
        <w:t xml:space="preserve"> en standaarddeviaties van de positieve en negatieve controles is de Z-</w:t>
      </w:r>
      <w:r>
        <w:rPr>
          <w:sz w:val="22"/>
          <w:szCs w:val="22"/>
        </w:rPr>
        <w:t xml:space="preserve">factor is berekend volgens naast staande </w:t>
      </w:r>
      <w:r w:rsidR="007E769B" w:rsidRPr="007E769B">
        <w:rPr>
          <w:sz w:val="22"/>
          <w:szCs w:val="22"/>
        </w:rPr>
        <w:t>formule:</w:t>
      </w:r>
    </w:p>
    <w:p w:rsidR="001D3FE8" w:rsidRDefault="001D3FE8" w:rsidP="007E769B">
      <w:pPr>
        <w:spacing w:line="360" w:lineRule="auto"/>
        <w:rPr>
          <w:sz w:val="22"/>
          <w:szCs w:val="22"/>
        </w:rPr>
      </w:pPr>
    </w:p>
    <w:p w:rsidR="007E769B" w:rsidRPr="007E769B" w:rsidRDefault="007E769B" w:rsidP="007E769B">
      <w:pPr>
        <w:spacing w:line="360" w:lineRule="auto"/>
        <w:rPr>
          <w:sz w:val="22"/>
          <w:szCs w:val="22"/>
        </w:rPr>
      </w:pPr>
      <w:r w:rsidRPr="007E769B">
        <w:rPr>
          <w:sz w:val="22"/>
          <w:szCs w:val="22"/>
        </w:rPr>
        <w:t xml:space="preserve">De Z-factor is geïnterpreteerd </w:t>
      </w:r>
      <w:r w:rsidR="002F3B19">
        <w:rPr>
          <w:sz w:val="22"/>
          <w:szCs w:val="22"/>
        </w:rPr>
        <w:t xml:space="preserve">volgens het onderstaande </w:t>
      </w:r>
      <w:r w:rsidRPr="007E769B">
        <w:rPr>
          <w:sz w:val="22"/>
          <w:szCs w:val="22"/>
        </w:rPr>
        <w:t>overzicht:</w:t>
      </w:r>
    </w:p>
    <w:p w:rsidR="007E769B" w:rsidRPr="007E769B" w:rsidRDefault="007E769B" w:rsidP="007E769B">
      <w:pPr>
        <w:spacing w:line="360" w:lineRule="auto"/>
        <w:rPr>
          <w:sz w:val="22"/>
          <w:szCs w:val="22"/>
        </w:rPr>
      </w:pPr>
      <w:r w:rsidRPr="007E769B">
        <w:rPr>
          <w:noProof/>
          <w:sz w:val="22"/>
          <w:szCs w:val="22"/>
          <w:lang w:val="en-US" w:eastAsia="nl-NL"/>
        </w:rPr>
        <w:drawing>
          <wp:anchor distT="0" distB="0" distL="0" distR="0" simplePos="0" relativeHeight="251659264" behindDoc="0" locked="0" layoutInCell="1" allowOverlap="1">
            <wp:simplePos x="0" y="0"/>
            <wp:positionH relativeFrom="column">
              <wp:align>center</wp:align>
            </wp:positionH>
            <wp:positionV relativeFrom="paragraph">
              <wp:align>top</wp:align>
            </wp:positionV>
            <wp:extent cx="5400675" cy="1685925"/>
            <wp:effectExtent l="0" t="0" r="0" b="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8"/>
                    <a:stretch>
                      <a:fillRect/>
                    </a:stretch>
                  </pic:blipFill>
                  <pic:spPr bwMode="auto">
                    <a:xfrm>
                      <a:off x="0" y="0"/>
                      <a:ext cx="5400675" cy="1685925"/>
                    </a:xfrm>
                    <a:prstGeom prst="rect">
                      <a:avLst/>
                    </a:prstGeom>
                    <a:noFill/>
                    <a:ln w="9525">
                      <a:noFill/>
                      <a:miter lim="800000"/>
                      <a:headEnd/>
                      <a:tailEnd/>
                    </a:ln>
                  </pic:spPr>
                </pic:pic>
              </a:graphicData>
            </a:graphic>
          </wp:anchor>
        </w:drawing>
      </w:r>
    </w:p>
    <w:p w:rsidR="007E769B" w:rsidRPr="000545A8" w:rsidRDefault="007E769B" w:rsidP="00A82031">
      <w:pPr>
        <w:spacing w:line="360" w:lineRule="auto"/>
        <w:rPr>
          <w:sz w:val="22"/>
          <w:szCs w:val="22"/>
        </w:rPr>
      </w:pPr>
    </w:p>
    <w:p w:rsidR="000545A8" w:rsidRPr="000545A8" w:rsidRDefault="000545A8" w:rsidP="000545A8">
      <w:pPr>
        <w:spacing w:line="360" w:lineRule="auto"/>
        <w:rPr>
          <w:szCs w:val="24"/>
        </w:rPr>
      </w:pPr>
      <w:r w:rsidRPr="000545A8">
        <w:rPr>
          <w:b/>
          <w:bCs/>
          <w:color w:val="00000A"/>
          <w:szCs w:val="24"/>
        </w:rPr>
        <w:t>Resultaten</w:t>
      </w:r>
      <w:r w:rsidRPr="000545A8">
        <w:rPr>
          <w:color w:val="00000A"/>
          <w:szCs w:val="24"/>
        </w:rPr>
        <w:br/>
      </w:r>
    </w:p>
    <w:p w:rsidR="006A30A8" w:rsidRPr="000545A8" w:rsidRDefault="006A30A8" w:rsidP="006A30A8">
      <w:pPr>
        <w:spacing w:line="360" w:lineRule="auto"/>
        <w:rPr>
          <w:sz w:val="22"/>
          <w:szCs w:val="22"/>
        </w:rPr>
      </w:pPr>
      <w:r w:rsidRPr="000545A8">
        <w:rPr>
          <w:b/>
          <w:bCs/>
          <w:noProof/>
          <w:sz w:val="22"/>
          <w:szCs w:val="22"/>
          <w:lang w:val="en-US" w:eastAsia="nl-NL"/>
        </w:rPr>
        <w:drawing>
          <wp:anchor distT="0" distB="0" distL="0" distR="0" simplePos="0" relativeHeight="251663360" behindDoc="0" locked="0" layoutInCell="1" allowOverlap="1">
            <wp:simplePos x="0" y="0"/>
            <wp:positionH relativeFrom="column">
              <wp:posOffset>60325</wp:posOffset>
            </wp:positionH>
            <wp:positionV relativeFrom="paragraph">
              <wp:posOffset>2077720</wp:posOffset>
            </wp:positionV>
            <wp:extent cx="5731510" cy="2440940"/>
            <wp:effectExtent l="0" t="0" r="0" b="0"/>
            <wp:wrapTopAndBottom/>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9"/>
                    <a:stretch>
                      <a:fillRect/>
                    </a:stretch>
                  </pic:blipFill>
                  <pic:spPr bwMode="auto">
                    <a:xfrm>
                      <a:off x="0" y="0"/>
                      <a:ext cx="5731510" cy="2440940"/>
                    </a:xfrm>
                    <a:prstGeom prst="rect">
                      <a:avLst/>
                    </a:prstGeom>
                    <a:noFill/>
                    <a:ln w="9525">
                      <a:noFill/>
                      <a:miter lim="800000"/>
                      <a:headEnd/>
                      <a:tailEnd/>
                    </a:ln>
                  </pic:spPr>
                </pic:pic>
              </a:graphicData>
            </a:graphic>
          </wp:anchor>
        </w:drawing>
      </w:r>
      <w:r w:rsidR="003857D1">
        <w:rPr>
          <w:b/>
          <w:bCs/>
          <w:color w:val="00000A"/>
          <w:sz w:val="22"/>
          <w:szCs w:val="22"/>
        </w:rPr>
        <w:t>Microscopie</w:t>
      </w:r>
      <w:r w:rsidR="000545A8" w:rsidRPr="000545A8">
        <w:rPr>
          <w:color w:val="00000A"/>
          <w:sz w:val="22"/>
          <w:szCs w:val="22"/>
        </w:rPr>
        <w:br/>
      </w:r>
      <w:r w:rsidR="000545A8">
        <w:rPr>
          <w:color w:val="00000A"/>
          <w:sz w:val="22"/>
          <w:szCs w:val="22"/>
        </w:rPr>
        <w:t xml:space="preserve">Het </w:t>
      </w:r>
      <w:r w:rsidR="000545A8" w:rsidRPr="000545A8">
        <w:rPr>
          <w:color w:val="00000A"/>
          <w:sz w:val="22"/>
          <w:szCs w:val="22"/>
        </w:rPr>
        <w:t>preparaat van</w:t>
      </w:r>
      <w:r w:rsidR="000545A8">
        <w:rPr>
          <w:color w:val="00000A"/>
          <w:sz w:val="22"/>
          <w:szCs w:val="22"/>
        </w:rPr>
        <w:t xml:space="preserve"> de experimentele conditie (</w:t>
      </w:r>
      <w:r w:rsidR="000545A8" w:rsidRPr="000545A8">
        <w:rPr>
          <w:color w:val="00000A"/>
          <w:sz w:val="22"/>
          <w:szCs w:val="22"/>
        </w:rPr>
        <w:t>corticosteron</w:t>
      </w:r>
      <w:r w:rsidR="000545A8">
        <w:rPr>
          <w:color w:val="00000A"/>
          <w:sz w:val="22"/>
          <w:szCs w:val="22"/>
        </w:rPr>
        <w:t>)</w:t>
      </w:r>
      <w:r w:rsidR="000545A8" w:rsidRPr="000545A8">
        <w:rPr>
          <w:color w:val="00000A"/>
          <w:sz w:val="22"/>
          <w:szCs w:val="22"/>
        </w:rPr>
        <w:t xml:space="preserve"> </w:t>
      </w:r>
      <w:r w:rsidR="000545A8">
        <w:rPr>
          <w:color w:val="00000A"/>
          <w:sz w:val="22"/>
          <w:szCs w:val="22"/>
        </w:rPr>
        <w:t>bleek met de verkeerde kant op het voorwerpglas te zijn geplaatst en was daardoor onbruikbaar</w:t>
      </w:r>
      <w:r w:rsidR="000545A8" w:rsidRPr="000545A8">
        <w:rPr>
          <w:color w:val="00000A"/>
          <w:sz w:val="22"/>
          <w:szCs w:val="22"/>
        </w:rPr>
        <w:t>. Er is voor</w:t>
      </w:r>
      <w:r w:rsidR="000545A8">
        <w:rPr>
          <w:color w:val="00000A"/>
          <w:sz w:val="22"/>
          <w:szCs w:val="22"/>
        </w:rPr>
        <w:t xml:space="preserve"> de foto's een preparaat van een ander onderzoeksduo</w:t>
      </w:r>
      <w:r w:rsidR="000545A8" w:rsidRPr="000545A8">
        <w:rPr>
          <w:color w:val="00000A"/>
          <w:sz w:val="22"/>
          <w:szCs w:val="22"/>
        </w:rPr>
        <w:t xml:space="preserve"> gebruikt. </w:t>
      </w:r>
      <w:r w:rsidR="000545A8">
        <w:rPr>
          <w:color w:val="00000A"/>
          <w:sz w:val="22"/>
          <w:szCs w:val="22"/>
        </w:rPr>
        <w:t>Er is van elk preparaat op 3 locaties</w:t>
      </w:r>
      <w:r w:rsidR="000545A8" w:rsidRPr="000545A8">
        <w:rPr>
          <w:color w:val="00000A"/>
          <w:sz w:val="22"/>
          <w:szCs w:val="22"/>
        </w:rPr>
        <w:t xml:space="preserve"> een foto gemaakt met </w:t>
      </w:r>
      <w:r w:rsidR="000545A8">
        <w:rPr>
          <w:color w:val="00000A"/>
          <w:sz w:val="22"/>
          <w:szCs w:val="22"/>
        </w:rPr>
        <w:t>beide filters</w:t>
      </w:r>
      <w:r w:rsidR="000545A8" w:rsidRPr="000545A8">
        <w:rPr>
          <w:color w:val="00000A"/>
          <w:sz w:val="22"/>
          <w:szCs w:val="22"/>
        </w:rPr>
        <w:t>. Figuur 1 laat een</w:t>
      </w:r>
      <w:r>
        <w:rPr>
          <w:color w:val="00000A"/>
          <w:sz w:val="22"/>
          <w:szCs w:val="22"/>
        </w:rPr>
        <w:t xml:space="preserve"> foto van </w:t>
      </w:r>
      <w:r w:rsidR="000545A8" w:rsidRPr="000545A8">
        <w:rPr>
          <w:color w:val="00000A"/>
          <w:sz w:val="22"/>
          <w:szCs w:val="22"/>
        </w:rPr>
        <w:t xml:space="preserve">de experimentele conditie </w:t>
      </w:r>
      <w:r>
        <w:rPr>
          <w:color w:val="00000A"/>
          <w:sz w:val="22"/>
          <w:szCs w:val="22"/>
        </w:rPr>
        <w:t>corticosteron zien, figuur 2 laat d</w:t>
      </w:r>
      <w:r w:rsidR="000545A8" w:rsidRPr="000545A8">
        <w:rPr>
          <w:color w:val="00000A"/>
          <w:sz w:val="22"/>
          <w:szCs w:val="22"/>
        </w:rPr>
        <w:t xml:space="preserve">e negatieve controle </w:t>
      </w:r>
      <w:r>
        <w:rPr>
          <w:color w:val="00000A"/>
          <w:sz w:val="22"/>
          <w:szCs w:val="22"/>
        </w:rPr>
        <w:t>zien, en f</w:t>
      </w:r>
      <w:r w:rsidRPr="000545A8">
        <w:rPr>
          <w:color w:val="00000A"/>
          <w:sz w:val="22"/>
          <w:szCs w:val="22"/>
        </w:rPr>
        <w:t xml:space="preserve">iguur 3 </w:t>
      </w:r>
      <w:r>
        <w:rPr>
          <w:color w:val="00000A"/>
          <w:sz w:val="22"/>
          <w:szCs w:val="22"/>
        </w:rPr>
        <w:t>geeft een foto van de positieve controle weer</w:t>
      </w:r>
      <w:r w:rsidRPr="000545A8">
        <w:rPr>
          <w:color w:val="00000A"/>
          <w:sz w:val="22"/>
          <w:szCs w:val="22"/>
        </w:rPr>
        <w:t xml:space="preserve">. </w:t>
      </w:r>
    </w:p>
    <w:p w:rsidR="000545A8" w:rsidRPr="000545A8" w:rsidRDefault="000545A8" w:rsidP="000545A8">
      <w:pPr>
        <w:spacing w:line="360" w:lineRule="auto"/>
        <w:rPr>
          <w:sz w:val="22"/>
          <w:szCs w:val="22"/>
        </w:rPr>
      </w:pPr>
    </w:p>
    <w:p w:rsidR="000545A8" w:rsidRPr="000545A8" w:rsidRDefault="006A30A8" w:rsidP="000545A8">
      <w:pPr>
        <w:spacing w:line="360" w:lineRule="auto"/>
        <w:rPr>
          <w:sz w:val="22"/>
          <w:szCs w:val="22"/>
        </w:rPr>
      </w:pPr>
      <w:r w:rsidRPr="000545A8">
        <w:rPr>
          <w:noProof/>
          <w:sz w:val="22"/>
          <w:szCs w:val="22"/>
          <w:lang w:val="en-US" w:eastAsia="nl-NL"/>
        </w:rPr>
        <w:drawing>
          <wp:anchor distT="0" distB="0" distL="0" distR="0" simplePos="0" relativeHeight="251665408" behindDoc="0" locked="0" layoutInCell="1" allowOverlap="1">
            <wp:simplePos x="0" y="0"/>
            <wp:positionH relativeFrom="column">
              <wp:posOffset>64135</wp:posOffset>
            </wp:positionH>
            <wp:positionV relativeFrom="paragraph">
              <wp:posOffset>2644775</wp:posOffset>
            </wp:positionV>
            <wp:extent cx="5731510" cy="2471420"/>
            <wp:effectExtent l="0" t="0" r="0" b="0"/>
            <wp:wrapSquare wrapText="largest"/>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0"/>
                    <a:stretch>
                      <a:fillRect/>
                    </a:stretch>
                  </pic:blipFill>
                  <pic:spPr bwMode="auto">
                    <a:xfrm>
                      <a:off x="0" y="0"/>
                      <a:ext cx="5731510" cy="2471420"/>
                    </a:xfrm>
                    <a:prstGeom prst="rect">
                      <a:avLst/>
                    </a:prstGeom>
                    <a:noFill/>
                    <a:ln w="9525">
                      <a:noFill/>
                      <a:miter lim="800000"/>
                      <a:headEnd/>
                      <a:tailEnd/>
                    </a:ln>
                  </pic:spPr>
                </pic:pic>
              </a:graphicData>
            </a:graphic>
          </wp:anchor>
        </w:drawing>
      </w:r>
      <w:r w:rsidRPr="000545A8">
        <w:rPr>
          <w:noProof/>
          <w:sz w:val="22"/>
          <w:szCs w:val="22"/>
          <w:lang w:val="en-US" w:eastAsia="nl-NL"/>
        </w:rPr>
        <w:drawing>
          <wp:anchor distT="0" distB="0" distL="0" distR="0" simplePos="0" relativeHeight="251664384" behindDoc="0" locked="0" layoutInCell="1" allowOverlap="1">
            <wp:simplePos x="0" y="0"/>
            <wp:positionH relativeFrom="column">
              <wp:posOffset>64135</wp:posOffset>
            </wp:positionH>
            <wp:positionV relativeFrom="paragraph">
              <wp:posOffset>0</wp:posOffset>
            </wp:positionV>
            <wp:extent cx="5731510" cy="2401570"/>
            <wp:effectExtent l="0" t="0" r="0" b="0"/>
            <wp:wrapTopAndBottom/>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1"/>
                    <a:stretch>
                      <a:fillRect/>
                    </a:stretch>
                  </pic:blipFill>
                  <pic:spPr bwMode="auto">
                    <a:xfrm>
                      <a:off x="0" y="0"/>
                      <a:ext cx="5731510" cy="2401570"/>
                    </a:xfrm>
                    <a:prstGeom prst="rect">
                      <a:avLst/>
                    </a:prstGeom>
                    <a:noFill/>
                    <a:ln w="9525">
                      <a:noFill/>
                      <a:miter lim="800000"/>
                      <a:headEnd/>
                      <a:tailEnd/>
                    </a:ln>
                  </pic:spPr>
                </pic:pic>
              </a:graphicData>
            </a:graphic>
          </wp:anchor>
        </w:drawing>
      </w:r>
    </w:p>
    <w:p w:rsidR="006A30A8" w:rsidRDefault="006A30A8" w:rsidP="000545A8">
      <w:pPr>
        <w:spacing w:line="360" w:lineRule="auto"/>
        <w:rPr>
          <w:sz w:val="22"/>
          <w:szCs w:val="22"/>
        </w:rPr>
      </w:pPr>
    </w:p>
    <w:p w:rsidR="006A30A8" w:rsidRPr="000545A8" w:rsidRDefault="006A30A8" w:rsidP="006A30A8">
      <w:pPr>
        <w:spacing w:line="360" w:lineRule="auto"/>
        <w:rPr>
          <w:sz w:val="22"/>
          <w:szCs w:val="22"/>
        </w:rPr>
      </w:pPr>
      <w:r>
        <w:rPr>
          <w:color w:val="00000A"/>
          <w:sz w:val="22"/>
          <w:szCs w:val="22"/>
        </w:rPr>
        <w:t>Voor de experimentele conditie wordt in dit verslag alleen een foto van de conditie corticosteron getoond</w:t>
      </w:r>
      <w:r w:rsidRPr="000545A8">
        <w:rPr>
          <w:color w:val="00000A"/>
          <w:sz w:val="22"/>
          <w:szCs w:val="22"/>
        </w:rPr>
        <w:t xml:space="preserve">. Van de experimenten met 17AAG en </w:t>
      </w:r>
      <w:proofErr w:type="spellStart"/>
      <w:r w:rsidRPr="000545A8">
        <w:rPr>
          <w:color w:val="00000A"/>
          <w:sz w:val="22"/>
          <w:szCs w:val="22"/>
        </w:rPr>
        <w:t>Mifepriston</w:t>
      </w:r>
      <w:proofErr w:type="spellEnd"/>
      <w:r w:rsidRPr="000545A8">
        <w:rPr>
          <w:color w:val="00000A"/>
          <w:sz w:val="22"/>
          <w:szCs w:val="22"/>
        </w:rPr>
        <w:t xml:space="preserve"> zijn vergelijkbare foto</w:t>
      </w:r>
      <w:r>
        <w:rPr>
          <w:color w:val="00000A"/>
          <w:sz w:val="22"/>
          <w:szCs w:val="22"/>
        </w:rPr>
        <w:t>’</w:t>
      </w:r>
      <w:r w:rsidRPr="000545A8">
        <w:rPr>
          <w:color w:val="00000A"/>
          <w:sz w:val="22"/>
          <w:szCs w:val="22"/>
        </w:rPr>
        <w:t>s gemaakt</w:t>
      </w:r>
      <w:r>
        <w:rPr>
          <w:color w:val="00000A"/>
          <w:sz w:val="22"/>
          <w:szCs w:val="22"/>
        </w:rPr>
        <w:t xml:space="preserve"> door andere onderzoeksduo’s</w:t>
      </w:r>
      <w:r w:rsidRPr="000545A8">
        <w:rPr>
          <w:color w:val="00000A"/>
          <w:sz w:val="22"/>
          <w:szCs w:val="22"/>
        </w:rPr>
        <w:t xml:space="preserve">. Echter leek bij </w:t>
      </w:r>
      <w:r>
        <w:rPr>
          <w:color w:val="00000A"/>
          <w:sz w:val="22"/>
          <w:szCs w:val="22"/>
        </w:rPr>
        <w:t xml:space="preserve">de conditie </w:t>
      </w:r>
      <w:proofErr w:type="spellStart"/>
      <w:r w:rsidRPr="000545A8">
        <w:rPr>
          <w:color w:val="00000A"/>
          <w:sz w:val="22"/>
          <w:szCs w:val="22"/>
        </w:rPr>
        <w:t>Mifepriston</w:t>
      </w:r>
      <w:proofErr w:type="spellEnd"/>
      <w:r w:rsidRPr="000545A8">
        <w:rPr>
          <w:color w:val="00000A"/>
          <w:sz w:val="22"/>
          <w:szCs w:val="22"/>
        </w:rPr>
        <w:t xml:space="preserve"> de afbeelding op die van de positieve controle, en </w:t>
      </w:r>
      <w:r>
        <w:rPr>
          <w:color w:val="00000A"/>
          <w:sz w:val="22"/>
          <w:szCs w:val="22"/>
        </w:rPr>
        <w:t>bij de conditie 17AAG leek de afbeelding op die van de</w:t>
      </w:r>
      <w:r w:rsidRPr="000545A8">
        <w:rPr>
          <w:color w:val="00000A"/>
          <w:sz w:val="22"/>
          <w:szCs w:val="22"/>
        </w:rPr>
        <w:t xml:space="preserve"> negatieve controle.</w:t>
      </w:r>
    </w:p>
    <w:p w:rsidR="000545A8" w:rsidRPr="000545A8" w:rsidRDefault="000545A8" w:rsidP="000545A8">
      <w:pPr>
        <w:spacing w:line="360" w:lineRule="auto"/>
        <w:rPr>
          <w:sz w:val="22"/>
          <w:szCs w:val="22"/>
        </w:rPr>
      </w:pPr>
    </w:p>
    <w:p w:rsidR="000545A8" w:rsidRPr="000545A8" w:rsidRDefault="000545A8" w:rsidP="000545A8">
      <w:pPr>
        <w:spacing w:line="360" w:lineRule="auto"/>
        <w:rPr>
          <w:sz w:val="22"/>
          <w:szCs w:val="22"/>
        </w:rPr>
      </w:pPr>
      <w:r w:rsidRPr="000545A8">
        <w:rPr>
          <w:b/>
          <w:bCs/>
          <w:sz w:val="22"/>
          <w:szCs w:val="22"/>
        </w:rPr>
        <w:t xml:space="preserve">Statistische analyse </w:t>
      </w:r>
      <w:r w:rsidRPr="000545A8">
        <w:rPr>
          <w:sz w:val="22"/>
          <w:szCs w:val="22"/>
        </w:rPr>
        <w:br/>
      </w:r>
      <w:r w:rsidR="00F9463C">
        <w:rPr>
          <w:color w:val="00000A"/>
          <w:sz w:val="22"/>
          <w:szCs w:val="22"/>
        </w:rPr>
        <w:t>Voor het gehele onderzoeksteam</w:t>
      </w:r>
      <w:r w:rsidRPr="000545A8">
        <w:rPr>
          <w:color w:val="00000A"/>
          <w:sz w:val="22"/>
          <w:szCs w:val="22"/>
        </w:rPr>
        <w:t xml:space="preserve"> zijn de cellen geteld </w:t>
      </w:r>
      <w:r w:rsidR="00F9463C">
        <w:rPr>
          <w:color w:val="00000A"/>
          <w:sz w:val="22"/>
          <w:szCs w:val="22"/>
        </w:rPr>
        <w:t>en hieruit volgde een gemiddeld</w:t>
      </w:r>
      <w:r w:rsidRPr="000545A8">
        <w:rPr>
          <w:color w:val="00000A"/>
          <w:sz w:val="22"/>
          <w:szCs w:val="22"/>
        </w:rPr>
        <w:t xml:space="preserve"> </w:t>
      </w:r>
      <w:r w:rsidR="00F9463C">
        <w:rPr>
          <w:color w:val="00000A"/>
          <w:sz w:val="22"/>
          <w:szCs w:val="22"/>
        </w:rPr>
        <w:t xml:space="preserve">percentage translocatie </w:t>
      </w:r>
      <w:r w:rsidRPr="000545A8">
        <w:rPr>
          <w:color w:val="00000A"/>
          <w:sz w:val="22"/>
          <w:szCs w:val="22"/>
        </w:rPr>
        <w:t xml:space="preserve">en </w:t>
      </w:r>
      <w:r w:rsidR="00F9463C">
        <w:rPr>
          <w:color w:val="00000A"/>
          <w:sz w:val="22"/>
          <w:szCs w:val="22"/>
        </w:rPr>
        <w:t xml:space="preserve">een gemiddelde </w:t>
      </w:r>
      <w:r w:rsidRPr="000545A8">
        <w:rPr>
          <w:color w:val="00000A"/>
          <w:sz w:val="22"/>
          <w:szCs w:val="22"/>
        </w:rPr>
        <w:t>standaarddeviatie</w:t>
      </w:r>
      <w:r w:rsidR="00F9463C">
        <w:rPr>
          <w:color w:val="00000A"/>
          <w:sz w:val="22"/>
          <w:szCs w:val="22"/>
        </w:rPr>
        <w:t xml:space="preserve"> (zie tabel 2)</w:t>
      </w:r>
      <w:r w:rsidRPr="000545A8">
        <w:rPr>
          <w:color w:val="00000A"/>
          <w:sz w:val="22"/>
          <w:szCs w:val="22"/>
        </w:rPr>
        <w:t xml:space="preserve">. </w:t>
      </w:r>
    </w:p>
    <w:p w:rsidR="000545A8" w:rsidRDefault="000545A8" w:rsidP="000545A8">
      <w:pPr>
        <w:spacing w:line="360" w:lineRule="auto"/>
        <w:rPr>
          <w:sz w:val="22"/>
          <w:szCs w:val="22"/>
        </w:rPr>
      </w:pPr>
    </w:p>
    <w:p w:rsidR="00F9463C" w:rsidRPr="000545A8" w:rsidRDefault="00F9463C" w:rsidP="000545A8">
      <w:pPr>
        <w:spacing w:line="360" w:lineRule="auto"/>
        <w:rPr>
          <w:sz w:val="22"/>
          <w:szCs w:val="22"/>
        </w:rPr>
      </w:pPr>
    </w:p>
    <w:tbl>
      <w:tblPr>
        <w:tblW w:w="902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3008"/>
        <w:gridCol w:w="3007"/>
        <w:gridCol w:w="3011"/>
      </w:tblGrid>
      <w:tr w:rsidR="000545A8" w:rsidRPr="000545A8">
        <w:tc>
          <w:tcPr>
            <w:tcW w:w="3008" w:type="dxa"/>
            <w:tcBorders>
              <w:top w:val="single" w:sz="2" w:space="0" w:color="000001"/>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p>
        </w:tc>
        <w:tc>
          <w:tcPr>
            <w:tcW w:w="3007" w:type="dxa"/>
            <w:tcBorders>
              <w:top w:val="single" w:sz="2" w:space="0" w:color="000001"/>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Gemiddelde percentage translocatie</w:t>
            </w:r>
          </w:p>
        </w:tc>
        <w:tc>
          <w:tcPr>
            <w:tcW w:w="30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Standaarddeviatie</w:t>
            </w:r>
          </w:p>
        </w:tc>
      </w:tr>
      <w:tr w:rsidR="000545A8" w:rsidRPr="000545A8">
        <w:tc>
          <w:tcPr>
            <w:tcW w:w="3008" w:type="dxa"/>
            <w:tcBorders>
              <w:top w:val="single" w:sz="2" w:space="0" w:color="000001"/>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Positieve controle</w:t>
            </w:r>
          </w:p>
        </w:tc>
        <w:tc>
          <w:tcPr>
            <w:tcW w:w="3007" w:type="dxa"/>
            <w:tcBorders>
              <w:top w:val="single" w:sz="2" w:space="0" w:color="000001"/>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18,78</w:t>
            </w:r>
          </w:p>
        </w:tc>
        <w:tc>
          <w:tcPr>
            <w:tcW w:w="30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 xml:space="preserve">24,10 </w:t>
            </w:r>
          </w:p>
        </w:tc>
      </w:tr>
      <w:tr w:rsidR="000545A8" w:rsidRPr="000545A8">
        <w:tc>
          <w:tcPr>
            <w:tcW w:w="3008" w:type="dxa"/>
            <w:tcBorders>
              <w:top w:val="single" w:sz="2" w:space="0" w:color="000001"/>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 xml:space="preserve">Negatieve controle </w:t>
            </w:r>
          </w:p>
        </w:tc>
        <w:tc>
          <w:tcPr>
            <w:tcW w:w="3007" w:type="dxa"/>
            <w:tcBorders>
              <w:top w:val="single" w:sz="2" w:space="0" w:color="000001"/>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92,75</w:t>
            </w:r>
          </w:p>
        </w:tc>
        <w:tc>
          <w:tcPr>
            <w:tcW w:w="30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14,22</w:t>
            </w:r>
          </w:p>
        </w:tc>
      </w:tr>
      <w:tr w:rsidR="000545A8" w:rsidRPr="000545A8">
        <w:tc>
          <w:tcPr>
            <w:tcW w:w="3008" w:type="dxa"/>
            <w:tcBorders>
              <w:top w:val="single" w:sz="2" w:space="0" w:color="000001"/>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 xml:space="preserve">Corticosteron </w:t>
            </w:r>
          </w:p>
        </w:tc>
        <w:tc>
          <w:tcPr>
            <w:tcW w:w="3007" w:type="dxa"/>
            <w:tcBorders>
              <w:top w:val="single" w:sz="2" w:space="0" w:color="000001"/>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26,44</w:t>
            </w:r>
          </w:p>
        </w:tc>
        <w:tc>
          <w:tcPr>
            <w:tcW w:w="3011"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30,00</w:t>
            </w:r>
          </w:p>
        </w:tc>
      </w:tr>
      <w:tr w:rsidR="000545A8" w:rsidRPr="000545A8">
        <w:tc>
          <w:tcPr>
            <w:tcW w:w="3008" w:type="dxa"/>
            <w:tcBorders>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proofErr w:type="spellStart"/>
            <w:r w:rsidRPr="000545A8">
              <w:rPr>
                <w:sz w:val="22"/>
                <w:szCs w:val="22"/>
              </w:rPr>
              <w:t>Mifepriston</w:t>
            </w:r>
            <w:proofErr w:type="spellEnd"/>
          </w:p>
        </w:tc>
        <w:tc>
          <w:tcPr>
            <w:tcW w:w="3007" w:type="dxa"/>
            <w:tcBorders>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2,00</w:t>
            </w:r>
          </w:p>
        </w:tc>
        <w:tc>
          <w:tcPr>
            <w:tcW w:w="3011" w:type="dxa"/>
            <w:tcBorders>
              <w:left w:val="single" w:sz="2" w:space="0" w:color="000001"/>
              <w:bottom w:val="single" w:sz="2" w:space="0" w:color="000001"/>
              <w:right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44,47</w:t>
            </w:r>
          </w:p>
        </w:tc>
      </w:tr>
      <w:tr w:rsidR="000545A8" w:rsidRPr="000545A8">
        <w:trPr>
          <w:trHeight w:val="481"/>
        </w:trPr>
        <w:tc>
          <w:tcPr>
            <w:tcW w:w="3008" w:type="dxa"/>
            <w:tcBorders>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17AAG</w:t>
            </w:r>
          </w:p>
        </w:tc>
        <w:tc>
          <w:tcPr>
            <w:tcW w:w="3007" w:type="dxa"/>
            <w:tcBorders>
              <w:left w:val="single" w:sz="2" w:space="0" w:color="000001"/>
              <w:bottom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3,00</w:t>
            </w:r>
          </w:p>
        </w:tc>
        <w:tc>
          <w:tcPr>
            <w:tcW w:w="3011" w:type="dxa"/>
            <w:tcBorders>
              <w:left w:val="single" w:sz="2" w:space="0" w:color="000001"/>
              <w:bottom w:val="single" w:sz="2" w:space="0" w:color="000001"/>
              <w:right w:val="single" w:sz="2" w:space="0" w:color="000001"/>
            </w:tcBorders>
            <w:shd w:val="clear" w:color="auto" w:fill="auto"/>
            <w:tcMar>
              <w:left w:w="51" w:type="dxa"/>
            </w:tcMar>
          </w:tcPr>
          <w:p w:rsidR="000545A8" w:rsidRPr="000545A8" w:rsidRDefault="000545A8" w:rsidP="00602859">
            <w:pPr>
              <w:pStyle w:val="Inhoudtabel"/>
              <w:rPr>
                <w:sz w:val="22"/>
                <w:szCs w:val="22"/>
              </w:rPr>
            </w:pPr>
            <w:r w:rsidRPr="000545A8">
              <w:rPr>
                <w:sz w:val="22"/>
                <w:szCs w:val="22"/>
              </w:rPr>
              <w:t>7,76</w:t>
            </w:r>
          </w:p>
        </w:tc>
      </w:tr>
    </w:tbl>
    <w:p w:rsidR="000545A8" w:rsidRPr="000545A8" w:rsidRDefault="000545A8" w:rsidP="000545A8">
      <w:pPr>
        <w:pStyle w:val="Tabel"/>
        <w:rPr>
          <w:sz w:val="22"/>
          <w:szCs w:val="22"/>
        </w:rPr>
      </w:pPr>
      <w:r w:rsidRPr="000545A8">
        <w:rPr>
          <w:sz w:val="22"/>
          <w:szCs w:val="22"/>
        </w:rPr>
        <w:t>Tabel 2: De gemiddelde percentages translocatie naar de nucleus van de positieve controle, de negatieve controle, de liganden en de bijbehorende standaarddeviatie.</w:t>
      </w:r>
    </w:p>
    <w:p w:rsidR="000545A8" w:rsidRPr="000545A8" w:rsidRDefault="000545A8" w:rsidP="000545A8">
      <w:pPr>
        <w:spacing w:line="360" w:lineRule="auto"/>
        <w:rPr>
          <w:b/>
          <w:sz w:val="22"/>
          <w:szCs w:val="22"/>
        </w:rPr>
      </w:pPr>
    </w:p>
    <w:p w:rsidR="000545A8" w:rsidRPr="000545A8" w:rsidRDefault="00F9463C" w:rsidP="000545A8">
      <w:pPr>
        <w:spacing w:line="360" w:lineRule="auto"/>
        <w:rPr>
          <w:sz w:val="22"/>
          <w:szCs w:val="22"/>
        </w:rPr>
      </w:pPr>
      <w:r>
        <w:rPr>
          <w:color w:val="00000A"/>
          <w:sz w:val="22"/>
          <w:szCs w:val="22"/>
        </w:rPr>
        <w:t>Uit de bijbehorende formule werd een Z-factor berekend van</w:t>
      </w:r>
      <w:r w:rsidR="000545A8" w:rsidRPr="000545A8">
        <w:rPr>
          <w:color w:val="00000A"/>
          <w:sz w:val="22"/>
          <w:szCs w:val="22"/>
        </w:rPr>
        <w:t xml:space="preserve"> Z=-0.56.  Met het programma R-studio kon een </w:t>
      </w:r>
      <w:proofErr w:type="spellStart"/>
      <w:r w:rsidR="000545A8" w:rsidRPr="000545A8">
        <w:rPr>
          <w:color w:val="00000A"/>
          <w:sz w:val="22"/>
          <w:szCs w:val="22"/>
        </w:rPr>
        <w:t>Kruskall-Wallis</w:t>
      </w:r>
      <w:proofErr w:type="spellEnd"/>
      <w:r>
        <w:rPr>
          <w:color w:val="00000A"/>
          <w:sz w:val="22"/>
          <w:szCs w:val="22"/>
        </w:rPr>
        <w:t xml:space="preserve"> </w:t>
      </w:r>
      <w:r w:rsidR="000545A8" w:rsidRPr="000545A8">
        <w:rPr>
          <w:color w:val="00000A"/>
          <w:sz w:val="22"/>
          <w:szCs w:val="22"/>
        </w:rPr>
        <w:t xml:space="preserve">en een post-hoc </w:t>
      </w:r>
      <w:proofErr w:type="spellStart"/>
      <w:r w:rsidR="000545A8" w:rsidRPr="000545A8">
        <w:rPr>
          <w:color w:val="00000A"/>
          <w:sz w:val="22"/>
          <w:szCs w:val="22"/>
        </w:rPr>
        <w:t>Tukey</w:t>
      </w:r>
      <w:proofErr w:type="spellEnd"/>
      <w:r w:rsidR="000545A8" w:rsidRPr="000545A8">
        <w:rPr>
          <w:color w:val="00000A"/>
          <w:sz w:val="22"/>
          <w:szCs w:val="22"/>
        </w:rPr>
        <w:t xml:space="preserve"> </w:t>
      </w:r>
      <w:proofErr w:type="spellStart"/>
      <w:r w:rsidR="000545A8" w:rsidRPr="000545A8">
        <w:rPr>
          <w:color w:val="00000A"/>
          <w:sz w:val="22"/>
          <w:szCs w:val="22"/>
        </w:rPr>
        <w:t>HSD-toets</w:t>
      </w:r>
      <w:proofErr w:type="spellEnd"/>
      <w:r w:rsidR="000545A8" w:rsidRPr="000545A8">
        <w:rPr>
          <w:color w:val="00000A"/>
          <w:sz w:val="22"/>
          <w:szCs w:val="22"/>
        </w:rPr>
        <w:t xml:space="preserve"> worden uitgevoerd. Daaruit volgde de onderstaande </w:t>
      </w:r>
      <w:proofErr w:type="spellStart"/>
      <w:r w:rsidR="000545A8" w:rsidRPr="000545A8">
        <w:rPr>
          <w:color w:val="00000A"/>
          <w:sz w:val="22"/>
          <w:szCs w:val="22"/>
        </w:rPr>
        <w:t>boxplot</w:t>
      </w:r>
      <w:proofErr w:type="spellEnd"/>
      <w:r>
        <w:rPr>
          <w:color w:val="00000A"/>
          <w:sz w:val="22"/>
          <w:szCs w:val="22"/>
        </w:rPr>
        <w:t xml:space="preserve"> (figuur 4)</w:t>
      </w:r>
      <w:r w:rsidR="000545A8" w:rsidRPr="000545A8">
        <w:rPr>
          <w:color w:val="00000A"/>
          <w:sz w:val="22"/>
          <w:szCs w:val="22"/>
        </w:rPr>
        <w:t>.</w:t>
      </w:r>
    </w:p>
    <w:p w:rsidR="000545A8" w:rsidRPr="000545A8" w:rsidRDefault="00F9463C" w:rsidP="000545A8">
      <w:pPr>
        <w:spacing w:line="360" w:lineRule="auto"/>
        <w:rPr>
          <w:sz w:val="22"/>
          <w:szCs w:val="22"/>
        </w:rPr>
      </w:pPr>
      <w:r w:rsidRPr="00F9463C">
        <w:rPr>
          <w:noProof/>
          <w:sz w:val="20"/>
          <w:lang w:val="en-US" w:eastAsia="nl-NL"/>
        </w:rPr>
        <w:drawing>
          <wp:anchor distT="0" distB="0" distL="0" distR="0" simplePos="0" relativeHeight="251662336" behindDoc="0" locked="0" layoutInCell="1" allowOverlap="1">
            <wp:simplePos x="0" y="0"/>
            <wp:positionH relativeFrom="column">
              <wp:posOffset>-50165</wp:posOffset>
            </wp:positionH>
            <wp:positionV relativeFrom="paragraph">
              <wp:posOffset>285750</wp:posOffset>
            </wp:positionV>
            <wp:extent cx="5731510" cy="4022090"/>
            <wp:effectExtent l="0" t="0" r="0" b="0"/>
            <wp:wrapTopAndBottom/>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2"/>
                    <a:stretch>
                      <a:fillRect/>
                    </a:stretch>
                  </pic:blipFill>
                  <pic:spPr bwMode="auto">
                    <a:xfrm>
                      <a:off x="0" y="0"/>
                      <a:ext cx="5731510" cy="4022090"/>
                    </a:xfrm>
                    <a:prstGeom prst="rect">
                      <a:avLst/>
                    </a:prstGeom>
                    <a:noFill/>
                    <a:ln w="9525">
                      <a:noFill/>
                      <a:miter lim="800000"/>
                      <a:headEnd/>
                      <a:tailEnd/>
                    </a:ln>
                  </pic:spPr>
                </pic:pic>
              </a:graphicData>
            </a:graphic>
          </wp:anchor>
        </w:drawing>
      </w:r>
    </w:p>
    <w:p w:rsidR="000545A8" w:rsidRPr="00F9463C" w:rsidRDefault="000545A8" w:rsidP="00F9463C">
      <w:pPr>
        <w:spacing w:line="360" w:lineRule="auto"/>
        <w:rPr>
          <w:sz w:val="20"/>
        </w:rPr>
      </w:pPr>
      <w:r w:rsidRPr="00F9463C">
        <w:rPr>
          <w:sz w:val="20"/>
        </w:rPr>
        <w:t>De dubbele asterisk geeft een p-waarde lager dan 0.01 aan.</w:t>
      </w:r>
      <w:r w:rsidRPr="00F9463C">
        <w:rPr>
          <w:noProof/>
          <w:sz w:val="20"/>
          <w:lang w:eastAsia="nl-NL"/>
        </w:rPr>
        <w:t xml:space="preserve"> </w:t>
      </w:r>
    </w:p>
    <w:p w:rsidR="000545A8" w:rsidRPr="000545A8" w:rsidRDefault="000545A8" w:rsidP="000545A8">
      <w:pPr>
        <w:spacing w:line="360" w:lineRule="auto"/>
        <w:rPr>
          <w:sz w:val="22"/>
          <w:szCs w:val="22"/>
        </w:rPr>
      </w:pPr>
    </w:p>
    <w:p w:rsidR="00E73F4F" w:rsidRDefault="00E73F4F" w:rsidP="000545A8">
      <w:pPr>
        <w:spacing w:line="360" w:lineRule="auto"/>
        <w:rPr>
          <w:rStyle w:val="Geaccentueerd"/>
        </w:rPr>
      </w:pPr>
      <w:r>
        <w:rPr>
          <w:sz w:val="22"/>
          <w:szCs w:val="22"/>
        </w:rPr>
        <w:t xml:space="preserve">De </w:t>
      </w:r>
      <w:proofErr w:type="spellStart"/>
      <w:r>
        <w:rPr>
          <w:sz w:val="22"/>
          <w:szCs w:val="22"/>
        </w:rPr>
        <w:t>Kruskall-Wallis</w:t>
      </w:r>
      <w:proofErr w:type="spellEnd"/>
      <w:r>
        <w:rPr>
          <w:sz w:val="22"/>
          <w:szCs w:val="22"/>
        </w:rPr>
        <w:t xml:space="preserve"> test toonde aan</w:t>
      </w:r>
      <w:r w:rsidR="000545A8" w:rsidRPr="00F9463C">
        <w:rPr>
          <w:sz w:val="22"/>
          <w:szCs w:val="22"/>
        </w:rPr>
        <w:t xml:space="preserve"> dat</w:t>
      </w:r>
      <w:r>
        <w:rPr>
          <w:sz w:val="22"/>
          <w:szCs w:val="22"/>
        </w:rPr>
        <w:t xml:space="preserve"> er een significant verschil bestond</w:t>
      </w:r>
      <w:r w:rsidR="000545A8" w:rsidRPr="00F9463C">
        <w:rPr>
          <w:sz w:val="22"/>
          <w:szCs w:val="22"/>
        </w:rPr>
        <w:t xml:space="preserve"> tussen de experimentele condities tegenover de positieve en negatieve controle (</w:t>
      </w:r>
      <w:r w:rsidR="000545A8" w:rsidRPr="00F9463C">
        <w:rPr>
          <w:rFonts w:ascii="Times New Roman" w:hAnsi="Times New Roman"/>
          <w:sz w:val="22"/>
          <w:szCs w:val="22"/>
        </w:rPr>
        <w:t>χ</w:t>
      </w:r>
      <w:r w:rsidR="000545A8" w:rsidRPr="00F9463C">
        <w:rPr>
          <w:sz w:val="22"/>
          <w:szCs w:val="22"/>
          <w:vertAlign w:val="superscript"/>
        </w:rPr>
        <w:t>2</w:t>
      </w:r>
      <w:r w:rsidR="000545A8" w:rsidRPr="00F9463C">
        <w:rPr>
          <w:sz w:val="22"/>
          <w:szCs w:val="22"/>
        </w:rPr>
        <w:t xml:space="preserve">(4)=  </w:t>
      </w:r>
      <w:r w:rsidR="000545A8" w:rsidRPr="00F9463C">
        <w:rPr>
          <w:color w:val="000000"/>
          <w:sz w:val="22"/>
          <w:szCs w:val="22"/>
        </w:rPr>
        <w:t>46.81</w:t>
      </w:r>
      <w:r w:rsidR="000545A8" w:rsidRPr="00F9463C">
        <w:rPr>
          <w:i/>
          <w:sz w:val="22"/>
          <w:szCs w:val="22"/>
        </w:rPr>
        <w:t xml:space="preserve">, </w:t>
      </w:r>
      <w:r w:rsidR="000545A8" w:rsidRPr="00F9463C">
        <w:rPr>
          <w:rStyle w:val="Geaccentueerd"/>
          <w:i w:val="0"/>
          <w:sz w:val="22"/>
          <w:szCs w:val="22"/>
        </w:rPr>
        <w:t xml:space="preserve">p = </w:t>
      </w:r>
      <w:r w:rsidR="000545A8" w:rsidRPr="00F9463C">
        <w:rPr>
          <w:rStyle w:val="Geaccentueerd"/>
          <w:i w:val="0"/>
          <w:color w:val="000000"/>
          <w:sz w:val="22"/>
          <w:szCs w:val="22"/>
        </w:rPr>
        <w:t>1.67</w:t>
      </w:r>
      <w:r w:rsidR="000545A8" w:rsidRPr="00F9463C">
        <w:rPr>
          <w:rStyle w:val="Geaccentueerd"/>
          <w:color w:val="000000"/>
          <w:sz w:val="22"/>
          <w:szCs w:val="22"/>
        </w:rPr>
        <w:t>e</w:t>
      </w:r>
      <w:r w:rsidR="000545A8" w:rsidRPr="00F9463C">
        <w:rPr>
          <w:rStyle w:val="Geaccentueerd"/>
          <w:i w:val="0"/>
          <w:color w:val="000000"/>
          <w:sz w:val="22"/>
          <w:szCs w:val="22"/>
        </w:rPr>
        <w:t>-09</w:t>
      </w:r>
      <w:r w:rsidR="000545A8" w:rsidRPr="00F9463C">
        <w:rPr>
          <w:rStyle w:val="Geaccentueerd"/>
          <w:i w:val="0"/>
          <w:sz w:val="22"/>
          <w:szCs w:val="22"/>
        </w:rPr>
        <w:t xml:space="preserve">). </w:t>
      </w:r>
    </w:p>
    <w:p w:rsidR="000545A8" w:rsidRPr="00F9463C" w:rsidRDefault="00E73F4F" w:rsidP="000545A8">
      <w:pPr>
        <w:spacing w:line="360" w:lineRule="auto"/>
        <w:rPr>
          <w:i/>
          <w:sz w:val="22"/>
          <w:szCs w:val="22"/>
        </w:rPr>
      </w:pPr>
      <w:r>
        <w:rPr>
          <w:rStyle w:val="Geaccentueerd"/>
          <w:i w:val="0"/>
          <w:sz w:val="22"/>
          <w:szCs w:val="22"/>
        </w:rPr>
        <w:t xml:space="preserve">De post-hoc </w:t>
      </w:r>
      <w:proofErr w:type="spellStart"/>
      <w:r>
        <w:rPr>
          <w:rStyle w:val="Geaccentueerd"/>
          <w:i w:val="0"/>
          <w:sz w:val="22"/>
          <w:szCs w:val="22"/>
        </w:rPr>
        <w:t>Tukey</w:t>
      </w:r>
      <w:proofErr w:type="spellEnd"/>
      <w:r>
        <w:rPr>
          <w:rStyle w:val="Geaccentueerd"/>
          <w:i w:val="0"/>
          <w:sz w:val="22"/>
          <w:szCs w:val="22"/>
        </w:rPr>
        <w:t xml:space="preserve"> HSD toonde het volgende aan</w:t>
      </w:r>
      <w:r w:rsidR="000545A8" w:rsidRPr="00F9463C">
        <w:rPr>
          <w:rStyle w:val="Geaccentueerd"/>
          <w:i w:val="0"/>
          <w:sz w:val="22"/>
          <w:szCs w:val="22"/>
        </w:rPr>
        <w:t xml:space="preserve"> (waarbij de waardes tussen de haa</w:t>
      </w:r>
      <w:r>
        <w:rPr>
          <w:rStyle w:val="Geaccentueerd"/>
          <w:i w:val="0"/>
          <w:sz w:val="22"/>
          <w:szCs w:val="22"/>
        </w:rPr>
        <w:t xml:space="preserve">kjes </w:t>
      </w:r>
      <w:r w:rsidR="000545A8" w:rsidRPr="00F9463C">
        <w:rPr>
          <w:rStyle w:val="Geaccentueerd"/>
          <w:i w:val="0"/>
          <w:sz w:val="22"/>
          <w:szCs w:val="22"/>
        </w:rPr>
        <w:t xml:space="preserve">de mediaan en de </w:t>
      </w:r>
      <w:proofErr w:type="spellStart"/>
      <w:r w:rsidR="000545A8" w:rsidRPr="00F9463C">
        <w:rPr>
          <w:rStyle w:val="Geaccentueerd"/>
          <w:i w:val="0"/>
          <w:sz w:val="22"/>
          <w:szCs w:val="22"/>
        </w:rPr>
        <w:t>interkwartiel</w:t>
      </w:r>
      <w:proofErr w:type="spellEnd"/>
      <w:r w:rsidR="000545A8" w:rsidRPr="00F9463C">
        <w:rPr>
          <w:rStyle w:val="Geaccentueerd"/>
          <w:i w:val="0"/>
          <w:sz w:val="22"/>
          <w:szCs w:val="22"/>
        </w:rPr>
        <w:t xml:space="preserve"> afstand </w:t>
      </w:r>
      <w:r>
        <w:rPr>
          <w:rStyle w:val="Geaccentueerd"/>
          <w:i w:val="0"/>
          <w:sz w:val="22"/>
          <w:szCs w:val="22"/>
        </w:rPr>
        <w:t>weer</w:t>
      </w:r>
      <w:r w:rsidR="000545A8" w:rsidRPr="00F9463C">
        <w:rPr>
          <w:rStyle w:val="Geaccentueerd"/>
          <w:i w:val="0"/>
          <w:sz w:val="22"/>
          <w:szCs w:val="22"/>
        </w:rPr>
        <w:t>geven):</w:t>
      </w:r>
    </w:p>
    <w:p w:rsidR="000545A8" w:rsidRPr="00E73A48" w:rsidRDefault="00E73A48" w:rsidP="00E73A48">
      <w:pPr>
        <w:pStyle w:val="Lijstalinea"/>
        <w:numPr>
          <w:ilvl w:val="0"/>
          <w:numId w:val="4"/>
        </w:numPr>
        <w:spacing w:line="360" w:lineRule="auto"/>
        <w:rPr>
          <w:sz w:val="22"/>
          <w:szCs w:val="22"/>
        </w:rPr>
      </w:pPr>
      <w:r>
        <w:rPr>
          <w:sz w:val="22"/>
          <w:szCs w:val="22"/>
        </w:rPr>
        <w:t>Er bestond</w:t>
      </w:r>
      <w:r w:rsidR="000545A8" w:rsidRPr="00E73A48">
        <w:rPr>
          <w:sz w:val="22"/>
          <w:szCs w:val="22"/>
        </w:rPr>
        <w:t xml:space="preserve"> geen significant verschil tussen de proportie volledige translocatie </w:t>
      </w:r>
      <w:r>
        <w:rPr>
          <w:sz w:val="22"/>
          <w:szCs w:val="22"/>
        </w:rPr>
        <w:t>bij</w:t>
      </w:r>
      <w:r w:rsidR="000545A8" w:rsidRPr="00E73A48">
        <w:rPr>
          <w:sz w:val="22"/>
          <w:szCs w:val="22"/>
        </w:rPr>
        <w:t xml:space="preserve"> cortic</w:t>
      </w:r>
      <w:r>
        <w:rPr>
          <w:sz w:val="22"/>
          <w:szCs w:val="22"/>
        </w:rPr>
        <w:t xml:space="preserve">osteron (51.09, 44.68-92.31) ten opzichte van </w:t>
      </w:r>
      <w:r w:rsidR="000545A8" w:rsidRPr="00E73A48">
        <w:rPr>
          <w:sz w:val="22"/>
          <w:szCs w:val="22"/>
        </w:rPr>
        <w:t>de negatieve controle (10.48, 1.92-23.40, T(</w:t>
      </w:r>
      <w:r>
        <w:rPr>
          <w:sz w:val="22"/>
          <w:szCs w:val="22"/>
        </w:rPr>
        <w:t>4)=1.673, p = 0.096223).  Er bestond echter</w:t>
      </w:r>
      <w:r w:rsidR="000545A8" w:rsidRPr="00E73A48">
        <w:rPr>
          <w:sz w:val="22"/>
          <w:szCs w:val="22"/>
        </w:rPr>
        <w:t xml:space="preserve"> wel een significant verschil tussen corticosteron (51.09</w:t>
      </w:r>
      <w:r>
        <w:rPr>
          <w:sz w:val="22"/>
          <w:szCs w:val="22"/>
        </w:rPr>
        <w:t xml:space="preserve">, 44.68-92.31) en de positieve </w:t>
      </w:r>
      <w:r w:rsidR="000545A8" w:rsidRPr="00E73A48">
        <w:rPr>
          <w:sz w:val="22"/>
          <w:szCs w:val="22"/>
        </w:rPr>
        <w:t xml:space="preserve">controle (100, 94.00-100, T(4) = 3.202, p=0.001627). </w:t>
      </w:r>
    </w:p>
    <w:p w:rsidR="000545A8" w:rsidRPr="00E73A48" w:rsidRDefault="00E73A48" w:rsidP="00E73A48">
      <w:pPr>
        <w:pStyle w:val="Lijstalinea"/>
        <w:numPr>
          <w:ilvl w:val="0"/>
          <w:numId w:val="4"/>
        </w:numPr>
        <w:spacing w:line="360" w:lineRule="auto"/>
        <w:rPr>
          <w:sz w:val="22"/>
          <w:szCs w:val="22"/>
        </w:rPr>
      </w:pPr>
      <w:r>
        <w:rPr>
          <w:sz w:val="22"/>
          <w:szCs w:val="22"/>
        </w:rPr>
        <w:t xml:space="preserve">Voor </w:t>
      </w:r>
      <w:proofErr w:type="spellStart"/>
      <w:r>
        <w:rPr>
          <w:sz w:val="22"/>
          <w:szCs w:val="22"/>
        </w:rPr>
        <w:t>m</w:t>
      </w:r>
      <w:r w:rsidR="000545A8" w:rsidRPr="00E73A48">
        <w:rPr>
          <w:sz w:val="22"/>
          <w:szCs w:val="22"/>
        </w:rPr>
        <w:t>ife</w:t>
      </w:r>
      <w:r>
        <w:rPr>
          <w:sz w:val="22"/>
          <w:szCs w:val="22"/>
        </w:rPr>
        <w:t>priston</w:t>
      </w:r>
      <w:proofErr w:type="spellEnd"/>
      <w:r>
        <w:rPr>
          <w:sz w:val="22"/>
          <w:szCs w:val="22"/>
        </w:rPr>
        <w:t xml:space="preserve"> (98.04, 94.25-100) bestond </w:t>
      </w:r>
      <w:r w:rsidR="000545A8" w:rsidRPr="00E73A48">
        <w:rPr>
          <w:sz w:val="22"/>
          <w:szCs w:val="22"/>
        </w:rPr>
        <w:t>er</w:t>
      </w:r>
      <w:r>
        <w:rPr>
          <w:sz w:val="22"/>
          <w:szCs w:val="22"/>
        </w:rPr>
        <w:t xml:space="preserve"> een significant verschil in</w:t>
      </w:r>
      <w:r w:rsidR="000545A8" w:rsidRPr="00E73A48">
        <w:rPr>
          <w:sz w:val="22"/>
          <w:szCs w:val="22"/>
        </w:rPr>
        <w:t xml:space="preserve"> de propor</w:t>
      </w:r>
      <w:r>
        <w:rPr>
          <w:sz w:val="22"/>
          <w:szCs w:val="22"/>
        </w:rPr>
        <w:t xml:space="preserve">tie volledige translocatie ten opzichte van </w:t>
      </w:r>
      <w:r w:rsidR="000545A8" w:rsidRPr="00E73A48">
        <w:rPr>
          <w:sz w:val="22"/>
          <w:szCs w:val="22"/>
        </w:rPr>
        <w:t xml:space="preserve">de negatieve controle (10.48, 1.92-23.40, T(4)=4.304, p = </w:t>
      </w:r>
      <w:bookmarkStart w:id="1" w:name="rstudio_console_output2"/>
      <w:bookmarkEnd w:id="1"/>
      <w:r w:rsidR="000545A8" w:rsidRPr="00E73A48">
        <w:rPr>
          <w:sz w:val="22"/>
          <w:szCs w:val="22"/>
        </w:rPr>
        <w:t>2.8e-05</w:t>
      </w:r>
      <w:r>
        <w:rPr>
          <w:sz w:val="22"/>
          <w:szCs w:val="22"/>
        </w:rPr>
        <w:t>). Er werd</w:t>
      </w:r>
      <w:r w:rsidR="000545A8" w:rsidRPr="00E73A48">
        <w:rPr>
          <w:sz w:val="22"/>
          <w:szCs w:val="22"/>
        </w:rPr>
        <w:t xml:space="preserve"> daarentegen geen signific</w:t>
      </w:r>
      <w:r>
        <w:rPr>
          <w:sz w:val="22"/>
          <w:szCs w:val="22"/>
        </w:rPr>
        <w:t xml:space="preserve">ant verschil gevonden tussen in </w:t>
      </w:r>
      <w:r w:rsidR="000545A8" w:rsidRPr="00E73A48">
        <w:rPr>
          <w:sz w:val="22"/>
          <w:szCs w:val="22"/>
        </w:rPr>
        <w:t>proport</w:t>
      </w:r>
      <w:r>
        <w:rPr>
          <w:sz w:val="22"/>
          <w:szCs w:val="22"/>
        </w:rPr>
        <w:t>ie volledige translocatie ten opzichte van de</w:t>
      </w:r>
      <w:r w:rsidR="000545A8" w:rsidRPr="00E73A48">
        <w:rPr>
          <w:sz w:val="22"/>
          <w:szCs w:val="22"/>
        </w:rPr>
        <w:t xml:space="preserve"> positieve controle (100, 94.00-100, T(4) = 0.825, p=</w:t>
      </w:r>
      <w:bookmarkStart w:id="2" w:name="rstudio_console_output3"/>
      <w:bookmarkEnd w:id="2"/>
      <w:r w:rsidR="000545A8" w:rsidRPr="00E73A48">
        <w:rPr>
          <w:sz w:val="22"/>
          <w:szCs w:val="22"/>
        </w:rPr>
        <w:t>0.410334).</w:t>
      </w:r>
    </w:p>
    <w:p w:rsidR="000545A8" w:rsidRDefault="00E73A48" w:rsidP="00E73A48">
      <w:pPr>
        <w:pStyle w:val="Lijstalinea"/>
        <w:numPr>
          <w:ilvl w:val="0"/>
          <w:numId w:val="4"/>
        </w:numPr>
        <w:spacing w:line="360" w:lineRule="auto"/>
        <w:rPr>
          <w:sz w:val="22"/>
          <w:szCs w:val="22"/>
        </w:rPr>
      </w:pPr>
      <w:r>
        <w:rPr>
          <w:sz w:val="22"/>
          <w:szCs w:val="22"/>
        </w:rPr>
        <w:t>V</w:t>
      </w:r>
      <w:r w:rsidR="000545A8" w:rsidRPr="00E73A48">
        <w:rPr>
          <w:sz w:val="22"/>
          <w:szCs w:val="22"/>
        </w:rPr>
        <w:t xml:space="preserve">oor 17AAG (33.44, 10.85-40.606) </w:t>
      </w:r>
      <w:r>
        <w:rPr>
          <w:sz w:val="22"/>
          <w:szCs w:val="22"/>
        </w:rPr>
        <w:t xml:space="preserve">bestond er </w:t>
      </w:r>
      <w:r w:rsidR="000545A8" w:rsidRPr="00E73A48">
        <w:rPr>
          <w:sz w:val="22"/>
          <w:szCs w:val="22"/>
        </w:rPr>
        <w:t>ee</w:t>
      </w:r>
      <w:r>
        <w:rPr>
          <w:sz w:val="22"/>
          <w:szCs w:val="22"/>
        </w:rPr>
        <w:t xml:space="preserve">n significant verschil in </w:t>
      </w:r>
      <w:r w:rsidR="000545A8" w:rsidRPr="00E73A48">
        <w:rPr>
          <w:sz w:val="22"/>
          <w:szCs w:val="22"/>
        </w:rPr>
        <w:t>de proportie voll</w:t>
      </w:r>
      <w:r>
        <w:rPr>
          <w:sz w:val="22"/>
          <w:szCs w:val="22"/>
        </w:rPr>
        <w:t xml:space="preserve">edige translocatie ten opzichte van </w:t>
      </w:r>
      <w:r w:rsidR="000545A8" w:rsidRPr="00E73A48">
        <w:rPr>
          <w:sz w:val="22"/>
          <w:szCs w:val="22"/>
        </w:rPr>
        <w:t>de positieve controle (100, 94.00-100, T(4) = 4.412, p=</w:t>
      </w:r>
      <w:bookmarkStart w:id="3" w:name="rstudio_console_output4"/>
      <w:bookmarkEnd w:id="3"/>
      <w:r w:rsidR="000545A8" w:rsidRPr="00E73A48">
        <w:rPr>
          <w:sz w:val="22"/>
          <w:szCs w:val="22"/>
        </w:rPr>
        <w:t>1.9e-05</w:t>
      </w:r>
      <w:r>
        <w:rPr>
          <w:sz w:val="22"/>
          <w:szCs w:val="22"/>
        </w:rPr>
        <w:t xml:space="preserve">), maar niet ten opzichte van </w:t>
      </w:r>
      <w:r w:rsidR="000545A8" w:rsidRPr="00E73A48">
        <w:rPr>
          <w:sz w:val="22"/>
          <w:szCs w:val="22"/>
        </w:rPr>
        <w:t xml:space="preserve">de negatieve controle (10.48, 1.92-23.40, T(4)=0.094, p = </w:t>
      </w:r>
      <w:bookmarkStart w:id="4" w:name="rstudio_console_output"/>
      <w:bookmarkEnd w:id="4"/>
      <w:r w:rsidR="000545A8" w:rsidRPr="00E73A48">
        <w:rPr>
          <w:sz w:val="22"/>
          <w:szCs w:val="22"/>
        </w:rPr>
        <w:t>0.92542).</w:t>
      </w:r>
    </w:p>
    <w:p w:rsidR="00E73A48" w:rsidRDefault="00E73A48" w:rsidP="00E73A48">
      <w:pPr>
        <w:spacing w:line="360" w:lineRule="auto"/>
        <w:rPr>
          <w:sz w:val="22"/>
          <w:szCs w:val="22"/>
        </w:rPr>
      </w:pPr>
    </w:p>
    <w:p w:rsidR="00E73A48" w:rsidRDefault="00E73A48" w:rsidP="00E73A48">
      <w:pPr>
        <w:spacing w:line="360" w:lineRule="auto"/>
        <w:rPr>
          <w:b/>
          <w:bCs/>
          <w:sz w:val="26"/>
          <w:szCs w:val="26"/>
        </w:rPr>
      </w:pPr>
    </w:p>
    <w:p w:rsidR="00E73A48" w:rsidRDefault="00E73A48" w:rsidP="00E73A48">
      <w:pPr>
        <w:spacing w:line="360" w:lineRule="auto"/>
        <w:rPr>
          <w:b/>
          <w:bCs/>
          <w:sz w:val="26"/>
          <w:szCs w:val="26"/>
        </w:rPr>
      </w:pPr>
      <w:r>
        <w:rPr>
          <w:b/>
          <w:bCs/>
          <w:sz w:val="26"/>
          <w:szCs w:val="26"/>
        </w:rPr>
        <w:t>Discussie</w:t>
      </w:r>
    </w:p>
    <w:p w:rsidR="00E73A48" w:rsidRPr="00E73A48" w:rsidRDefault="00E73A48" w:rsidP="00E73A48">
      <w:pPr>
        <w:spacing w:line="360" w:lineRule="auto"/>
        <w:rPr>
          <w:sz w:val="22"/>
          <w:szCs w:val="22"/>
        </w:rPr>
      </w:pPr>
    </w:p>
    <w:p w:rsidR="00A82211" w:rsidRDefault="00787913" w:rsidP="00E73A48">
      <w:pPr>
        <w:spacing w:line="360" w:lineRule="auto"/>
        <w:rPr>
          <w:sz w:val="22"/>
          <w:szCs w:val="22"/>
        </w:rPr>
      </w:pPr>
      <w:r w:rsidRPr="00602859">
        <w:rPr>
          <w:sz w:val="22"/>
          <w:szCs w:val="22"/>
          <w:highlight w:val="green"/>
        </w:rPr>
        <w:t xml:space="preserve">Uit de interpretatie die volgt uit tabel 1 betekent de Z-waarde van Z=-0.56 dat dit </w:t>
      </w:r>
      <w:r w:rsidR="00E73A48" w:rsidRPr="00602859">
        <w:rPr>
          <w:sz w:val="22"/>
          <w:szCs w:val="22"/>
          <w:highlight w:val="green"/>
        </w:rPr>
        <w:t xml:space="preserve">assay onbruikbaar is. </w:t>
      </w:r>
      <w:r w:rsidRPr="00602859">
        <w:rPr>
          <w:sz w:val="22"/>
          <w:szCs w:val="22"/>
          <w:highlight w:val="green"/>
        </w:rPr>
        <w:t>Hiermee is de tweede onderzoeksvraag beantwoord</w:t>
      </w:r>
      <w:r w:rsidR="00E73A48" w:rsidRPr="00602859">
        <w:rPr>
          <w:sz w:val="22"/>
          <w:szCs w:val="22"/>
          <w:highlight w:val="green"/>
        </w:rPr>
        <w:t xml:space="preserve">: </w:t>
      </w:r>
      <w:r w:rsidRPr="00602859">
        <w:rPr>
          <w:sz w:val="22"/>
          <w:szCs w:val="22"/>
          <w:highlight w:val="green"/>
        </w:rPr>
        <w:t xml:space="preserve">het </w:t>
      </w:r>
      <w:r w:rsidR="00E73A48" w:rsidRPr="00602859">
        <w:rPr>
          <w:sz w:val="22"/>
          <w:szCs w:val="22"/>
          <w:highlight w:val="green"/>
        </w:rPr>
        <w:t xml:space="preserve">kwantificeren van ligand-geïnduceerde nucleaire translocatie van de GR-receptor </w:t>
      </w:r>
      <w:r w:rsidRPr="00602859">
        <w:rPr>
          <w:sz w:val="22"/>
          <w:szCs w:val="22"/>
          <w:highlight w:val="green"/>
        </w:rPr>
        <w:t>is g</w:t>
      </w:r>
      <w:r w:rsidR="00E73A48" w:rsidRPr="00602859">
        <w:rPr>
          <w:sz w:val="22"/>
          <w:szCs w:val="22"/>
          <w:highlight w:val="green"/>
        </w:rPr>
        <w:t>een robuuste methode voo</w:t>
      </w:r>
      <w:r w:rsidRPr="00602859">
        <w:rPr>
          <w:sz w:val="22"/>
          <w:szCs w:val="22"/>
          <w:highlight w:val="green"/>
        </w:rPr>
        <w:t>r het screenen van GR-liganden</w:t>
      </w:r>
      <w:r w:rsidR="00E73A48" w:rsidRPr="00602859">
        <w:rPr>
          <w:sz w:val="22"/>
          <w:szCs w:val="22"/>
          <w:highlight w:val="green"/>
        </w:rPr>
        <w:t xml:space="preserve">. Dit </w:t>
      </w:r>
      <w:r w:rsidRPr="00602859">
        <w:rPr>
          <w:sz w:val="22"/>
          <w:szCs w:val="22"/>
          <w:highlight w:val="green"/>
        </w:rPr>
        <w:t>is in strijd met de verwachting,</w:t>
      </w:r>
      <w:r w:rsidR="00E73A48" w:rsidRPr="00602859">
        <w:rPr>
          <w:sz w:val="22"/>
          <w:szCs w:val="22"/>
          <w:highlight w:val="green"/>
        </w:rPr>
        <w:t xml:space="preserve"> omdat de </w:t>
      </w:r>
      <w:r w:rsidRPr="00602859">
        <w:rPr>
          <w:sz w:val="22"/>
          <w:szCs w:val="22"/>
          <w:highlight w:val="green"/>
        </w:rPr>
        <w:t xml:space="preserve">gebruikte </w:t>
      </w:r>
      <w:r w:rsidR="00E73A48" w:rsidRPr="00602859">
        <w:rPr>
          <w:sz w:val="22"/>
          <w:szCs w:val="22"/>
          <w:highlight w:val="green"/>
        </w:rPr>
        <w:t>methode vergelijkbaar is</w:t>
      </w:r>
      <w:r w:rsidRPr="00602859">
        <w:rPr>
          <w:sz w:val="22"/>
          <w:szCs w:val="22"/>
          <w:highlight w:val="green"/>
        </w:rPr>
        <w:t xml:space="preserve"> met de methode die </w:t>
      </w:r>
      <w:proofErr w:type="spellStart"/>
      <w:r w:rsidR="00E73A48" w:rsidRPr="00602859">
        <w:rPr>
          <w:sz w:val="22"/>
          <w:szCs w:val="22"/>
          <w:highlight w:val="green"/>
        </w:rPr>
        <w:t>Dull</w:t>
      </w:r>
      <w:proofErr w:type="spellEnd"/>
      <w:r w:rsidR="00E73A48" w:rsidRPr="00602859">
        <w:rPr>
          <w:sz w:val="22"/>
          <w:szCs w:val="22"/>
          <w:highlight w:val="green"/>
        </w:rPr>
        <w:t xml:space="preserve"> et al. (2013)</w:t>
      </w:r>
      <w:r w:rsidRPr="00602859">
        <w:rPr>
          <w:sz w:val="22"/>
          <w:szCs w:val="22"/>
          <w:highlight w:val="green"/>
        </w:rPr>
        <w:t xml:space="preserve"> hanteerde</w:t>
      </w:r>
      <w:r w:rsidR="00E73A48" w:rsidRPr="00602859">
        <w:rPr>
          <w:sz w:val="22"/>
          <w:szCs w:val="22"/>
          <w:highlight w:val="green"/>
        </w:rPr>
        <w:t xml:space="preserve">, </w:t>
      </w:r>
      <w:r w:rsidRPr="00602859">
        <w:rPr>
          <w:sz w:val="22"/>
          <w:szCs w:val="22"/>
          <w:highlight w:val="green"/>
        </w:rPr>
        <w:t>en deze bleek wel robuust</w:t>
      </w:r>
      <w:r w:rsidR="00E73A48" w:rsidRPr="00602859">
        <w:rPr>
          <w:sz w:val="22"/>
          <w:szCs w:val="22"/>
          <w:highlight w:val="green"/>
        </w:rPr>
        <w:t xml:space="preserve"> voor oestrogeen. </w:t>
      </w:r>
      <w:r w:rsidRPr="00602859">
        <w:rPr>
          <w:sz w:val="22"/>
          <w:szCs w:val="22"/>
          <w:highlight w:val="green"/>
        </w:rPr>
        <w:t>D</w:t>
      </w:r>
      <w:r w:rsidR="00A82211" w:rsidRPr="00602859">
        <w:rPr>
          <w:sz w:val="22"/>
          <w:szCs w:val="22"/>
          <w:highlight w:val="green"/>
        </w:rPr>
        <w:t>e gevonden Z-waarde</w:t>
      </w:r>
      <w:r w:rsidR="00E73A48" w:rsidRPr="00602859">
        <w:rPr>
          <w:sz w:val="22"/>
          <w:szCs w:val="22"/>
          <w:highlight w:val="green"/>
        </w:rPr>
        <w:t xml:space="preserve"> is te verklaren door een </w:t>
      </w:r>
      <w:r w:rsidRPr="00602859">
        <w:rPr>
          <w:sz w:val="22"/>
          <w:szCs w:val="22"/>
          <w:highlight w:val="green"/>
        </w:rPr>
        <w:t xml:space="preserve">mogelijke </w:t>
      </w:r>
      <w:r w:rsidR="00E73A48" w:rsidRPr="00602859">
        <w:rPr>
          <w:sz w:val="22"/>
          <w:szCs w:val="22"/>
          <w:highlight w:val="green"/>
        </w:rPr>
        <w:t>bias in het tellen van de cellen</w:t>
      </w:r>
      <w:r w:rsidRPr="00602859">
        <w:rPr>
          <w:sz w:val="22"/>
          <w:szCs w:val="22"/>
          <w:highlight w:val="green"/>
        </w:rPr>
        <w:t>, doordat het grote aantal onderzoekers ieder een eigen interpretatie van de kalibratie zou kunnen hebben</w:t>
      </w:r>
      <w:r w:rsidR="00E73A48" w:rsidRPr="00602859">
        <w:rPr>
          <w:sz w:val="22"/>
          <w:szCs w:val="22"/>
          <w:highlight w:val="green"/>
        </w:rPr>
        <w:t xml:space="preserve">. </w:t>
      </w:r>
      <w:r w:rsidRPr="00602859">
        <w:rPr>
          <w:sz w:val="22"/>
          <w:szCs w:val="22"/>
          <w:highlight w:val="green"/>
        </w:rPr>
        <w:t>Dit vergroot de spreiding</w:t>
      </w:r>
      <w:r w:rsidR="00E73A48" w:rsidRPr="00602859">
        <w:rPr>
          <w:sz w:val="22"/>
          <w:szCs w:val="22"/>
          <w:highlight w:val="green"/>
        </w:rPr>
        <w:t xml:space="preserve">, </w:t>
      </w:r>
      <w:r w:rsidR="00A82211" w:rsidRPr="00602859">
        <w:rPr>
          <w:sz w:val="22"/>
          <w:szCs w:val="22"/>
          <w:highlight w:val="green"/>
        </w:rPr>
        <w:t>wat</w:t>
      </w:r>
      <w:r w:rsidRPr="00602859">
        <w:rPr>
          <w:sz w:val="22"/>
          <w:szCs w:val="22"/>
          <w:highlight w:val="green"/>
        </w:rPr>
        <w:t xml:space="preserve"> leidt tot</w:t>
      </w:r>
      <w:r w:rsidR="00E73A48" w:rsidRPr="00602859">
        <w:rPr>
          <w:sz w:val="22"/>
          <w:szCs w:val="22"/>
          <w:highlight w:val="green"/>
        </w:rPr>
        <w:t xml:space="preserve"> veel overlap tussen de positieve en negatieve controle</w:t>
      </w:r>
      <w:r w:rsidR="00A82211" w:rsidRPr="00602859">
        <w:rPr>
          <w:sz w:val="22"/>
          <w:szCs w:val="22"/>
          <w:highlight w:val="green"/>
        </w:rPr>
        <w:t xml:space="preserve"> met als gevolg een </w:t>
      </w:r>
      <w:r w:rsidR="00E73A48" w:rsidRPr="00602859">
        <w:rPr>
          <w:sz w:val="22"/>
          <w:szCs w:val="22"/>
          <w:highlight w:val="green"/>
        </w:rPr>
        <w:t xml:space="preserve">negatieve Z-waarde. </w:t>
      </w:r>
      <w:r w:rsidR="00A82211" w:rsidRPr="00602859">
        <w:rPr>
          <w:sz w:val="22"/>
          <w:szCs w:val="22"/>
          <w:highlight w:val="green"/>
        </w:rPr>
        <w:t>Een verbetering aan dit onderzoek zou zijn om een kleiner onderzoeksteam, met duidelijke afspraken en daarmee een eenzijdige interpretatie van de kalibratie, de stappen te laten herhalen</w:t>
      </w:r>
      <w:r w:rsidR="00E73A48" w:rsidRPr="00602859">
        <w:rPr>
          <w:sz w:val="22"/>
          <w:szCs w:val="22"/>
          <w:highlight w:val="green"/>
        </w:rPr>
        <w:t>.</w:t>
      </w:r>
      <w:r w:rsidR="00E73A48" w:rsidRPr="00E73A48">
        <w:rPr>
          <w:sz w:val="22"/>
          <w:szCs w:val="22"/>
        </w:rPr>
        <w:t xml:space="preserve">  </w:t>
      </w:r>
    </w:p>
    <w:p w:rsidR="00A82211" w:rsidRPr="00326A8B" w:rsidRDefault="00A82211" w:rsidP="00E73A48">
      <w:pPr>
        <w:spacing w:line="360" w:lineRule="auto"/>
        <w:rPr>
          <w:sz w:val="22"/>
          <w:szCs w:val="22"/>
          <w:highlight w:val="magenta"/>
        </w:rPr>
      </w:pPr>
      <w:r w:rsidRPr="00326A8B">
        <w:rPr>
          <w:sz w:val="22"/>
          <w:szCs w:val="22"/>
          <w:highlight w:val="magenta"/>
        </w:rPr>
        <w:t xml:space="preserve">Dat corticosteron significant afwijkt van de positieve controle </w:t>
      </w:r>
      <w:r w:rsidR="00E73A48" w:rsidRPr="00326A8B">
        <w:rPr>
          <w:sz w:val="22"/>
          <w:szCs w:val="22"/>
          <w:highlight w:val="magenta"/>
        </w:rPr>
        <w:t>is te verklaren doordat</w:t>
      </w:r>
      <w:r w:rsidRPr="00326A8B">
        <w:rPr>
          <w:sz w:val="22"/>
          <w:szCs w:val="22"/>
          <w:highlight w:val="magenta"/>
        </w:rPr>
        <w:t xml:space="preserve"> corticosteron minder goed </w:t>
      </w:r>
      <w:r w:rsidR="00E73A48" w:rsidRPr="00326A8B">
        <w:rPr>
          <w:sz w:val="22"/>
          <w:szCs w:val="22"/>
          <w:highlight w:val="magenta"/>
        </w:rPr>
        <w:t>op</w:t>
      </w:r>
      <w:r w:rsidRPr="00326A8B">
        <w:rPr>
          <w:sz w:val="22"/>
          <w:szCs w:val="22"/>
          <w:highlight w:val="magenta"/>
        </w:rPr>
        <w:t xml:space="preserve"> de GR-</w:t>
      </w:r>
      <w:r w:rsidR="00E73A48" w:rsidRPr="00326A8B">
        <w:rPr>
          <w:sz w:val="22"/>
          <w:szCs w:val="22"/>
          <w:highlight w:val="magenta"/>
        </w:rPr>
        <w:t xml:space="preserve">receptor </w:t>
      </w:r>
      <w:r w:rsidRPr="00326A8B">
        <w:rPr>
          <w:sz w:val="22"/>
          <w:szCs w:val="22"/>
          <w:highlight w:val="magenta"/>
        </w:rPr>
        <w:t xml:space="preserve">past dan cortisol. Ook 17AAG, een stof bekend als antagonist, gedraagt zich zoals verwacht en </w:t>
      </w:r>
      <w:r w:rsidR="00E73A48" w:rsidRPr="00326A8B">
        <w:rPr>
          <w:sz w:val="22"/>
          <w:szCs w:val="22"/>
          <w:highlight w:val="magenta"/>
        </w:rPr>
        <w:t xml:space="preserve">laat nauwelijks translocatie zien. </w:t>
      </w:r>
    </w:p>
    <w:p w:rsidR="001A159D" w:rsidRDefault="00A82211" w:rsidP="00E73A48">
      <w:pPr>
        <w:spacing w:line="360" w:lineRule="auto"/>
        <w:rPr>
          <w:sz w:val="22"/>
          <w:szCs w:val="22"/>
        </w:rPr>
      </w:pPr>
      <w:proofErr w:type="spellStart"/>
      <w:r w:rsidRPr="00326A8B">
        <w:rPr>
          <w:sz w:val="22"/>
          <w:szCs w:val="22"/>
          <w:highlight w:val="magenta"/>
        </w:rPr>
        <w:t>M</w:t>
      </w:r>
      <w:r w:rsidR="00E73A48" w:rsidRPr="00326A8B">
        <w:rPr>
          <w:sz w:val="22"/>
          <w:szCs w:val="22"/>
          <w:highlight w:val="magenta"/>
        </w:rPr>
        <w:t>ifepriston</w:t>
      </w:r>
      <w:proofErr w:type="spellEnd"/>
      <w:r w:rsidR="00E73A48" w:rsidRPr="00326A8B">
        <w:rPr>
          <w:sz w:val="22"/>
          <w:szCs w:val="22"/>
          <w:highlight w:val="magenta"/>
        </w:rPr>
        <w:t xml:space="preserve"> laat </w:t>
      </w:r>
      <w:r w:rsidRPr="00326A8B">
        <w:rPr>
          <w:sz w:val="22"/>
          <w:szCs w:val="22"/>
          <w:highlight w:val="magenta"/>
        </w:rPr>
        <w:t xml:space="preserve">echter </w:t>
      </w:r>
      <w:r w:rsidR="00E73A48" w:rsidRPr="00326A8B">
        <w:rPr>
          <w:sz w:val="22"/>
          <w:szCs w:val="22"/>
          <w:highlight w:val="magenta"/>
        </w:rPr>
        <w:t xml:space="preserve">een onverwacht resultaat zien, namelijk een groot percentage translocatie, terwijl bij een antagonist verwacht wordt dat er weinig tot geen translocatie plaatsvindt. </w:t>
      </w:r>
      <w:proofErr w:type="spellStart"/>
      <w:r w:rsidR="00E73A48" w:rsidRPr="00326A8B">
        <w:rPr>
          <w:sz w:val="22"/>
          <w:szCs w:val="22"/>
          <w:highlight w:val="magenta"/>
        </w:rPr>
        <w:t>Mifepriston</w:t>
      </w:r>
      <w:proofErr w:type="spellEnd"/>
      <w:r w:rsidR="00E73A48" w:rsidRPr="00326A8B">
        <w:rPr>
          <w:sz w:val="22"/>
          <w:szCs w:val="22"/>
          <w:highlight w:val="magenta"/>
        </w:rPr>
        <w:t xml:space="preserve"> gedraagt zich </w:t>
      </w:r>
      <w:r w:rsidR="00B0031A" w:rsidRPr="00326A8B">
        <w:rPr>
          <w:sz w:val="22"/>
          <w:szCs w:val="22"/>
          <w:highlight w:val="magenta"/>
        </w:rPr>
        <w:t xml:space="preserve">op dit niveau </w:t>
      </w:r>
      <w:r w:rsidR="00E73A48" w:rsidRPr="00326A8B">
        <w:rPr>
          <w:sz w:val="22"/>
          <w:szCs w:val="22"/>
          <w:highlight w:val="magenta"/>
        </w:rPr>
        <w:t xml:space="preserve">eerder als een agonist. </w:t>
      </w:r>
      <w:r w:rsidR="00B0031A" w:rsidRPr="00326A8B">
        <w:rPr>
          <w:sz w:val="22"/>
          <w:szCs w:val="22"/>
          <w:highlight w:val="magenta"/>
        </w:rPr>
        <w:t xml:space="preserve">Een verklaring zou kunnen zijn dat </w:t>
      </w:r>
      <w:proofErr w:type="spellStart"/>
      <w:r w:rsidR="00B0031A" w:rsidRPr="00326A8B">
        <w:rPr>
          <w:sz w:val="22"/>
          <w:szCs w:val="22"/>
          <w:highlight w:val="magenta"/>
        </w:rPr>
        <w:t>m</w:t>
      </w:r>
      <w:r w:rsidR="00E73A48" w:rsidRPr="00326A8B">
        <w:rPr>
          <w:sz w:val="22"/>
          <w:szCs w:val="22"/>
          <w:highlight w:val="magenta"/>
        </w:rPr>
        <w:t>ifepriston</w:t>
      </w:r>
      <w:proofErr w:type="spellEnd"/>
      <w:r w:rsidR="00E73A48" w:rsidRPr="00326A8B">
        <w:rPr>
          <w:sz w:val="22"/>
          <w:szCs w:val="22"/>
          <w:highlight w:val="magenta"/>
        </w:rPr>
        <w:t xml:space="preserve"> een ander aangrijpingspunt heeft dan antagonist 17AAG. 17AAG grijpt aan op de tran</w:t>
      </w:r>
      <w:r w:rsidR="001A159D" w:rsidRPr="00326A8B">
        <w:rPr>
          <w:sz w:val="22"/>
          <w:szCs w:val="22"/>
          <w:highlight w:val="magenta"/>
        </w:rPr>
        <w:t xml:space="preserve">slocatie, terwijl </w:t>
      </w:r>
      <w:proofErr w:type="spellStart"/>
      <w:r w:rsidR="001A159D" w:rsidRPr="00326A8B">
        <w:rPr>
          <w:sz w:val="22"/>
          <w:szCs w:val="22"/>
          <w:highlight w:val="magenta"/>
        </w:rPr>
        <w:t>m</w:t>
      </w:r>
      <w:r w:rsidR="00E73A48" w:rsidRPr="00326A8B">
        <w:rPr>
          <w:sz w:val="22"/>
          <w:szCs w:val="22"/>
          <w:highlight w:val="magenta"/>
        </w:rPr>
        <w:t>ifepriston</w:t>
      </w:r>
      <w:proofErr w:type="spellEnd"/>
      <w:r w:rsidR="00E73A48" w:rsidRPr="00326A8B">
        <w:rPr>
          <w:sz w:val="22"/>
          <w:szCs w:val="22"/>
          <w:highlight w:val="magenta"/>
        </w:rPr>
        <w:t xml:space="preserve"> aangrijpt op de </w:t>
      </w:r>
      <w:r w:rsidR="001A159D" w:rsidRPr="00326A8B">
        <w:rPr>
          <w:sz w:val="22"/>
          <w:szCs w:val="22"/>
          <w:highlight w:val="magenta"/>
        </w:rPr>
        <w:t>gen</w:t>
      </w:r>
      <w:r w:rsidR="00E73A48" w:rsidRPr="00326A8B">
        <w:rPr>
          <w:sz w:val="22"/>
          <w:szCs w:val="22"/>
          <w:highlight w:val="magenta"/>
        </w:rPr>
        <w:t>exp</w:t>
      </w:r>
      <w:r w:rsidR="001A159D" w:rsidRPr="00326A8B">
        <w:rPr>
          <w:sz w:val="22"/>
          <w:szCs w:val="22"/>
          <w:highlight w:val="magenta"/>
        </w:rPr>
        <w:t xml:space="preserve">ressie van </w:t>
      </w:r>
      <w:proofErr w:type="spellStart"/>
      <w:r w:rsidR="001A159D" w:rsidRPr="00326A8B">
        <w:rPr>
          <w:sz w:val="22"/>
          <w:szCs w:val="22"/>
          <w:highlight w:val="magenta"/>
        </w:rPr>
        <w:t>mRNA</w:t>
      </w:r>
      <w:proofErr w:type="spellEnd"/>
      <w:r w:rsidR="001A159D" w:rsidRPr="00326A8B">
        <w:rPr>
          <w:sz w:val="22"/>
          <w:szCs w:val="22"/>
          <w:highlight w:val="magenta"/>
        </w:rPr>
        <w:t xml:space="preserve"> na transcriptie</w:t>
      </w:r>
      <w:r w:rsidR="00E73A48" w:rsidRPr="00326A8B">
        <w:rPr>
          <w:sz w:val="22"/>
          <w:szCs w:val="22"/>
          <w:highlight w:val="magenta"/>
        </w:rPr>
        <w:t xml:space="preserve"> (Gallagher &amp; Young, 2006).</w:t>
      </w:r>
      <w:r w:rsidR="00E73A48" w:rsidRPr="00E73A48">
        <w:rPr>
          <w:sz w:val="22"/>
          <w:szCs w:val="22"/>
        </w:rPr>
        <w:t xml:space="preserve"> </w:t>
      </w:r>
    </w:p>
    <w:p w:rsidR="00ED4543" w:rsidRDefault="001A159D" w:rsidP="000346B6">
      <w:pPr>
        <w:spacing w:line="360" w:lineRule="auto"/>
        <w:rPr>
          <w:sz w:val="22"/>
          <w:szCs w:val="22"/>
        </w:rPr>
      </w:pPr>
      <w:r w:rsidRPr="00326A8B">
        <w:rPr>
          <w:sz w:val="22"/>
          <w:szCs w:val="22"/>
          <w:highlight w:val="blue"/>
        </w:rPr>
        <w:t xml:space="preserve">Beide antagonisten blijken na het onderzoek en literatuurstudie een verschillende cascade te volgen binnen de cel. Kennis van de mogelijke cascades is van belang voor verder onderzoek van vergelijkbare liganden. Ook zou er in de toekomst meer onderzoek gedaan kunnen worden naar de precieze werking van de antagonisten, zodat het </w:t>
      </w:r>
      <w:r w:rsidR="00E73A48" w:rsidRPr="00326A8B">
        <w:rPr>
          <w:sz w:val="22"/>
          <w:szCs w:val="22"/>
          <w:highlight w:val="blue"/>
        </w:rPr>
        <w:t xml:space="preserve">uiteindelijk </w:t>
      </w:r>
      <w:r w:rsidRPr="00326A8B">
        <w:rPr>
          <w:sz w:val="22"/>
          <w:szCs w:val="22"/>
          <w:highlight w:val="blue"/>
        </w:rPr>
        <w:t>gebruikt kan worden</w:t>
      </w:r>
      <w:r w:rsidR="00E73A48" w:rsidRPr="00326A8B">
        <w:rPr>
          <w:sz w:val="22"/>
          <w:szCs w:val="22"/>
          <w:highlight w:val="blue"/>
        </w:rPr>
        <w:t xml:space="preserve"> als medicijn voor mensen met agressief gedrag, hersenbeschadiging, cognitieve aftakeling en psychiatrische stoornissen.</w:t>
      </w:r>
      <w:r w:rsidR="00E73A48" w:rsidRPr="00E73A48">
        <w:rPr>
          <w:sz w:val="22"/>
          <w:szCs w:val="22"/>
        </w:rPr>
        <w:t xml:space="preserve"> </w:t>
      </w:r>
    </w:p>
    <w:p w:rsidR="00262129" w:rsidRDefault="00262129" w:rsidP="000346B6">
      <w:pPr>
        <w:spacing w:line="360" w:lineRule="auto"/>
        <w:rPr>
          <w:sz w:val="22"/>
          <w:szCs w:val="22"/>
        </w:rPr>
      </w:pPr>
      <w:r>
        <w:rPr>
          <w:sz w:val="22"/>
          <w:szCs w:val="22"/>
        </w:rPr>
        <w:t>Wat er uit dit onderzoek dus geconcludeerd kan worden, is dat de proportie van translocatie niet perse een maat is voor de antagonistische werking van een ligand, en dat er in de toekomst nog veel onderzoek gedaan kan worden naar de cascade op biochemisch niveau.</w:t>
      </w:r>
    </w:p>
    <w:p w:rsidR="00DF34BB" w:rsidRDefault="00DF34BB" w:rsidP="000346B6">
      <w:pPr>
        <w:spacing w:line="360" w:lineRule="auto"/>
        <w:rPr>
          <w:sz w:val="22"/>
          <w:szCs w:val="22"/>
        </w:rPr>
      </w:pPr>
    </w:p>
    <w:p w:rsidR="00E13FA7" w:rsidRDefault="00E13FA7" w:rsidP="00DF34BB">
      <w:pPr>
        <w:spacing w:line="360" w:lineRule="auto"/>
        <w:rPr>
          <w:b/>
          <w:szCs w:val="24"/>
        </w:rPr>
      </w:pPr>
    </w:p>
    <w:p w:rsidR="00DF34BB" w:rsidRDefault="00DF34BB" w:rsidP="00DF34BB">
      <w:pPr>
        <w:spacing w:line="360" w:lineRule="auto"/>
      </w:pPr>
      <w:r>
        <w:rPr>
          <w:b/>
          <w:szCs w:val="24"/>
        </w:rPr>
        <w:t>Literatuurlijst</w:t>
      </w:r>
    </w:p>
    <w:p w:rsidR="00DF34BB" w:rsidRPr="00DF34BB" w:rsidRDefault="00DF34BB" w:rsidP="00DF34BB">
      <w:pPr>
        <w:spacing w:line="360" w:lineRule="auto"/>
        <w:rPr>
          <w:sz w:val="22"/>
          <w:szCs w:val="22"/>
        </w:rPr>
      </w:pPr>
    </w:p>
    <w:p w:rsidR="00DF34BB" w:rsidRPr="00E13FA7" w:rsidRDefault="00DF34BB" w:rsidP="00E13FA7">
      <w:pPr>
        <w:pStyle w:val="Lijstalinea"/>
        <w:numPr>
          <w:ilvl w:val="0"/>
          <w:numId w:val="5"/>
        </w:numPr>
        <w:spacing w:line="360" w:lineRule="auto"/>
        <w:rPr>
          <w:sz w:val="22"/>
          <w:szCs w:val="22"/>
        </w:rPr>
      </w:pPr>
      <w:proofErr w:type="spellStart"/>
      <w:r w:rsidRPr="00E13FA7">
        <w:rPr>
          <w:sz w:val="22"/>
          <w:szCs w:val="22"/>
        </w:rPr>
        <w:t>Dull</w:t>
      </w:r>
      <w:proofErr w:type="spellEnd"/>
      <w:r w:rsidRPr="00E13FA7">
        <w:rPr>
          <w:sz w:val="22"/>
          <w:szCs w:val="22"/>
        </w:rPr>
        <w:t xml:space="preserve">, A.B., et al. (2013), </w:t>
      </w:r>
      <w:proofErr w:type="spellStart"/>
      <w:r w:rsidRPr="00E13FA7">
        <w:rPr>
          <w:sz w:val="22"/>
          <w:szCs w:val="22"/>
        </w:rPr>
        <w:t>Identification</w:t>
      </w:r>
      <w:proofErr w:type="spellEnd"/>
      <w:r w:rsidRPr="00E13FA7">
        <w:rPr>
          <w:sz w:val="22"/>
          <w:szCs w:val="22"/>
        </w:rPr>
        <w:t xml:space="preserve"> of </w:t>
      </w:r>
      <w:proofErr w:type="spellStart"/>
      <w:r w:rsidRPr="00E13FA7">
        <w:rPr>
          <w:sz w:val="22"/>
          <w:szCs w:val="22"/>
        </w:rPr>
        <w:t>compounds</w:t>
      </w:r>
      <w:proofErr w:type="spellEnd"/>
      <w:r w:rsidRPr="00E13FA7">
        <w:rPr>
          <w:sz w:val="22"/>
          <w:szCs w:val="22"/>
        </w:rPr>
        <w:t xml:space="preserve"> </w:t>
      </w:r>
      <w:proofErr w:type="spellStart"/>
      <w:r w:rsidRPr="00E13FA7">
        <w:rPr>
          <w:sz w:val="22"/>
          <w:szCs w:val="22"/>
        </w:rPr>
        <w:t>by</w:t>
      </w:r>
      <w:proofErr w:type="spellEnd"/>
      <w:r w:rsidRPr="00E13FA7">
        <w:rPr>
          <w:sz w:val="22"/>
          <w:szCs w:val="22"/>
        </w:rPr>
        <w:t xml:space="preserve"> </w:t>
      </w:r>
      <w:proofErr w:type="spellStart"/>
      <w:r w:rsidRPr="00E13FA7">
        <w:rPr>
          <w:sz w:val="22"/>
          <w:szCs w:val="22"/>
        </w:rPr>
        <w:t>highcontent</w:t>
      </w:r>
      <w:proofErr w:type="spellEnd"/>
      <w:r w:rsidRPr="00E13FA7">
        <w:rPr>
          <w:sz w:val="22"/>
          <w:szCs w:val="22"/>
        </w:rPr>
        <w:t xml:space="preserve"> </w:t>
      </w:r>
      <w:proofErr w:type="spellStart"/>
      <w:r w:rsidRPr="00E13FA7">
        <w:rPr>
          <w:sz w:val="22"/>
          <w:szCs w:val="22"/>
        </w:rPr>
        <w:t>screening</w:t>
      </w:r>
      <w:proofErr w:type="spellEnd"/>
      <w:r w:rsidRPr="00E13FA7">
        <w:rPr>
          <w:sz w:val="22"/>
          <w:szCs w:val="22"/>
        </w:rPr>
        <w:t xml:space="preserve"> </w:t>
      </w:r>
      <w:proofErr w:type="spellStart"/>
      <w:r w:rsidRPr="00E13FA7">
        <w:rPr>
          <w:sz w:val="22"/>
          <w:szCs w:val="22"/>
        </w:rPr>
        <w:t>that</w:t>
      </w:r>
      <w:proofErr w:type="spellEnd"/>
      <w:r w:rsidRPr="00E13FA7">
        <w:rPr>
          <w:sz w:val="22"/>
          <w:szCs w:val="22"/>
        </w:rPr>
        <w:t xml:space="preserve"> </w:t>
      </w:r>
      <w:proofErr w:type="spellStart"/>
      <w:r w:rsidRPr="00E13FA7">
        <w:rPr>
          <w:sz w:val="22"/>
          <w:szCs w:val="22"/>
        </w:rPr>
        <w:t>induce</w:t>
      </w:r>
      <w:proofErr w:type="spellEnd"/>
      <w:r w:rsidRPr="00E13FA7">
        <w:rPr>
          <w:sz w:val="22"/>
          <w:szCs w:val="22"/>
        </w:rPr>
        <w:t xml:space="preserve"> </w:t>
      </w:r>
      <w:proofErr w:type="spellStart"/>
      <w:r w:rsidRPr="00E13FA7">
        <w:rPr>
          <w:sz w:val="22"/>
          <w:szCs w:val="22"/>
        </w:rPr>
        <w:t>cytoplasmic</w:t>
      </w:r>
      <w:proofErr w:type="spellEnd"/>
      <w:r w:rsidRPr="00E13FA7">
        <w:rPr>
          <w:sz w:val="22"/>
          <w:szCs w:val="22"/>
        </w:rPr>
        <w:t xml:space="preserve"> to </w:t>
      </w:r>
      <w:proofErr w:type="spellStart"/>
      <w:r w:rsidRPr="00E13FA7">
        <w:rPr>
          <w:sz w:val="22"/>
          <w:szCs w:val="22"/>
        </w:rPr>
        <w:t>nuclear</w:t>
      </w:r>
      <w:proofErr w:type="spellEnd"/>
      <w:r w:rsidRPr="00E13FA7">
        <w:rPr>
          <w:sz w:val="22"/>
          <w:szCs w:val="22"/>
        </w:rPr>
        <w:t xml:space="preserve"> </w:t>
      </w:r>
      <w:proofErr w:type="spellStart"/>
      <w:r w:rsidRPr="00E13FA7">
        <w:rPr>
          <w:sz w:val="22"/>
          <w:szCs w:val="22"/>
        </w:rPr>
        <w:t>localization</w:t>
      </w:r>
      <w:proofErr w:type="spellEnd"/>
      <w:r w:rsidRPr="00E13FA7">
        <w:rPr>
          <w:sz w:val="22"/>
          <w:szCs w:val="22"/>
        </w:rPr>
        <w:t xml:space="preserve"> of a fluorescent </w:t>
      </w:r>
      <w:proofErr w:type="spellStart"/>
      <w:r w:rsidRPr="00E13FA7">
        <w:rPr>
          <w:sz w:val="22"/>
          <w:szCs w:val="22"/>
        </w:rPr>
        <w:t>estrogen</w:t>
      </w:r>
      <w:proofErr w:type="spellEnd"/>
      <w:r w:rsidRPr="00E13FA7">
        <w:rPr>
          <w:sz w:val="22"/>
          <w:szCs w:val="22"/>
        </w:rPr>
        <w:t xml:space="preserve"> receptor D </w:t>
      </w:r>
      <w:proofErr w:type="spellStart"/>
      <w:r w:rsidRPr="00E13FA7">
        <w:rPr>
          <w:sz w:val="22"/>
          <w:szCs w:val="22"/>
        </w:rPr>
        <w:t>chimera</w:t>
      </w:r>
      <w:proofErr w:type="spellEnd"/>
      <w:r w:rsidRPr="00E13FA7">
        <w:rPr>
          <w:sz w:val="22"/>
          <w:szCs w:val="22"/>
        </w:rPr>
        <w:t xml:space="preserve"> and </w:t>
      </w:r>
      <w:proofErr w:type="spellStart"/>
      <w:r w:rsidRPr="00E13FA7">
        <w:rPr>
          <w:sz w:val="22"/>
          <w:szCs w:val="22"/>
        </w:rPr>
        <w:t>exhibit</w:t>
      </w:r>
      <w:proofErr w:type="spellEnd"/>
      <w:r w:rsidRPr="00E13FA7">
        <w:rPr>
          <w:sz w:val="22"/>
          <w:szCs w:val="22"/>
        </w:rPr>
        <w:t xml:space="preserve"> agonist or antagonist </w:t>
      </w:r>
      <w:proofErr w:type="spellStart"/>
      <w:r w:rsidRPr="00E13FA7">
        <w:rPr>
          <w:sz w:val="22"/>
          <w:szCs w:val="22"/>
        </w:rPr>
        <w:t>activity</w:t>
      </w:r>
      <w:proofErr w:type="spellEnd"/>
      <w:r w:rsidRPr="00E13FA7">
        <w:rPr>
          <w:sz w:val="22"/>
          <w:szCs w:val="22"/>
        </w:rPr>
        <w:t xml:space="preserve"> in vitro. </w:t>
      </w:r>
      <w:r w:rsidRPr="00E13FA7">
        <w:rPr>
          <w:i/>
          <w:iCs/>
          <w:sz w:val="22"/>
          <w:szCs w:val="22"/>
        </w:rPr>
        <w:t xml:space="preserve">Journal of </w:t>
      </w:r>
      <w:proofErr w:type="spellStart"/>
      <w:r w:rsidRPr="00E13FA7">
        <w:rPr>
          <w:i/>
          <w:iCs/>
          <w:sz w:val="22"/>
          <w:szCs w:val="22"/>
        </w:rPr>
        <w:t>Biomolecular</w:t>
      </w:r>
      <w:proofErr w:type="spellEnd"/>
      <w:r w:rsidRPr="00E13FA7">
        <w:rPr>
          <w:i/>
          <w:iCs/>
          <w:sz w:val="22"/>
          <w:szCs w:val="22"/>
        </w:rPr>
        <w:t xml:space="preserve"> Screening,</w:t>
      </w:r>
      <w:r w:rsidRPr="00E13FA7">
        <w:rPr>
          <w:sz w:val="22"/>
          <w:szCs w:val="22"/>
        </w:rPr>
        <w:t xml:space="preserve"> XX(X), 1-11. </w:t>
      </w:r>
      <w:r w:rsidRPr="00E13FA7">
        <w:rPr>
          <w:sz w:val="22"/>
          <w:szCs w:val="22"/>
        </w:rPr>
        <w:br/>
      </w:r>
    </w:p>
    <w:p w:rsidR="00DF34BB" w:rsidRPr="00E13FA7" w:rsidRDefault="00DF34BB" w:rsidP="00E13FA7">
      <w:pPr>
        <w:pStyle w:val="Lijstalinea"/>
        <w:numPr>
          <w:ilvl w:val="0"/>
          <w:numId w:val="5"/>
        </w:numPr>
        <w:spacing w:line="360" w:lineRule="auto"/>
        <w:rPr>
          <w:sz w:val="22"/>
          <w:szCs w:val="22"/>
        </w:rPr>
      </w:pPr>
      <w:r w:rsidRPr="00E13FA7">
        <w:rPr>
          <w:sz w:val="22"/>
          <w:szCs w:val="22"/>
        </w:rPr>
        <w:t xml:space="preserve">Gallagher, P., Young, A.H. (2006), </w:t>
      </w:r>
      <w:proofErr w:type="spellStart"/>
      <w:r w:rsidRPr="00E13FA7">
        <w:rPr>
          <w:sz w:val="22"/>
          <w:szCs w:val="22"/>
        </w:rPr>
        <w:t>Mifepristone</w:t>
      </w:r>
      <w:proofErr w:type="spellEnd"/>
      <w:r w:rsidRPr="00E13FA7">
        <w:rPr>
          <w:sz w:val="22"/>
          <w:szCs w:val="22"/>
        </w:rPr>
        <w:t xml:space="preserve"> (Ru-486) </w:t>
      </w:r>
      <w:proofErr w:type="spellStart"/>
      <w:r w:rsidRPr="00E13FA7">
        <w:rPr>
          <w:sz w:val="22"/>
          <w:szCs w:val="22"/>
        </w:rPr>
        <w:t>treatment</w:t>
      </w:r>
      <w:proofErr w:type="spellEnd"/>
      <w:r w:rsidRPr="00E13FA7">
        <w:rPr>
          <w:sz w:val="22"/>
          <w:szCs w:val="22"/>
        </w:rPr>
        <w:t xml:space="preserve"> </w:t>
      </w:r>
      <w:proofErr w:type="spellStart"/>
      <w:r w:rsidRPr="00E13FA7">
        <w:rPr>
          <w:sz w:val="22"/>
          <w:szCs w:val="22"/>
        </w:rPr>
        <w:t>for</w:t>
      </w:r>
      <w:proofErr w:type="spellEnd"/>
      <w:r w:rsidRPr="00E13FA7">
        <w:rPr>
          <w:sz w:val="22"/>
          <w:szCs w:val="22"/>
        </w:rPr>
        <w:t xml:space="preserve"> </w:t>
      </w:r>
      <w:proofErr w:type="spellStart"/>
      <w:r w:rsidRPr="00E13FA7">
        <w:rPr>
          <w:sz w:val="22"/>
          <w:szCs w:val="22"/>
        </w:rPr>
        <w:t>depression</w:t>
      </w:r>
      <w:proofErr w:type="spellEnd"/>
      <w:r w:rsidRPr="00E13FA7">
        <w:rPr>
          <w:sz w:val="22"/>
          <w:szCs w:val="22"/>
        </w:rPr>
        <w:t xml:space="preserve"> and </w:t>
      </w:r>
      <w:proofErr w:type="spellStart"/>
      <w:r w:rsidRPr="00E13FA7">
        <w:rPr>
          <w:sz w:val="22"/>
          <w:szCs w:val="22"/>
        </w:rPr>
        <w:t>psychosis</w:t>
      </w:r>
      <w:proofErr w:type="spellEnd"/>
      <w:r w:rsidRPr="00E13FA7">
        <w:rPr>
          <w:sz w:val="22"/>
          <w:szCs w:val="22"/>
        </w:rPr>
        <w:t xml:space="preserve">: a </w:t>
      </w:r>
      <w:proofErr w:type="spellStart"/>
      <w:r w:rsidRPr="00E13FA7">
        <w:rPr>
          <w:sz w:val="22"/>
          <w:szCs w:val="22"/>
        </w:rPr>
        <w:t>review</w:t>
      </w:r>
      <w:proofErr w:type="spellEnd"/>
      <w:r w:rsidRPr="00E13FA7">
        <w:rPr>
          <w:sz w:val="22"/>
          <w:szCs w:val="22"/>
        </w:rPr>
        <w:t xml:space="preserve"> of the </w:t>
      </w:r>
      <w:proofErr w:type="spellStart"/>
      <w:r w:rsidRPr="00E13FA7">
        <w:rPr>
          <w:sz w:val="22"/>
          <w:szCs w:val="22"/>
        </w:rPr>
        <w:t>therapeutic</w:t>
      </w:r>
      <w:proofErr w:type="spellEnd"/>
      <w:r w:rsidRPr="00E13FA7">
        <w:rPr>
          <w:sz w:val="22"/>
          <w:szCs w:val="22"/>
        </w:rPr>
        <w:t xml:space="preserve"> </w:t>
      </w:r>
      <w:proofErr w:type="spellStart"/>
      <w:r w:rsidRPr="00E13FA7">
        <w:rPr>
          <w:sz w:val="22"/>
          <w:szCs w:val="22"/>
        </w:rPr>
        <w:t>implications</w:t>
      </w:r>
      <w:proofErr w:type="spellEnd"/>
      <w:r w:rsidRPr="00E13FA7">
        <w:rPr>
          <w:sz w:val="22"/>
          <w:szCs w:val="22"/>
        </w:rPr>
        <w:t xml:space="preserve">. </w:t>
      </w:r>
      <w:proofErr w:type="spellStart"/>
      <w:r w:rsidRPr="00E13FA7">
        <w:rPr>
          <w:i/>
          <w:iCs/>
          <w:sz w:val="22"/>
          <w:szCs w:val="22"/>
        </w:rPr>
        <w:t>Neuropsychiatric</w:t>
      </w:r>
      <w:proofErr w:type="spellEnd"/>
      <w:r w:rsidRPr="00E13FA7">
        <w:rPr>
          <w:i/>
          <w:iCs/>
          <w:sz w:val="22"/>
          <w:szCs w:val="22"/>
        </w:rPr>
        <w:t xml:space="preserve"> </w:t>
      </w:r>
      <w:proofErr w:type="spellStart"/>
      <w:r w:rsidRPr="00E13FA7">
        <w:rPr>
          <w:i/>
          <w:iCs/>
          <w:sz w:val="22"/>
          <w:szCs w:val="22"/>
        </w:rPr>
        <w:t>Disease</w:t>
      </w:r>
      <w:proofErr w:type="spellEnd"/>
      <w:r w:rsidRPr="00E13FA7">
        <w:rPr>
          <w:i/>
          <w:iCs/>
          <w:sz w:val="22"/>
          <w:szCs w:val="22"/>
        </w:rPr>
        <w:t xml:space="preserve"> and Treatment</w:t>
      </w:r>
      <w:r w:rsidRPr="00E13FA7">
        <w:rPr>
          <w:sz w:val="22"/>
          <w:szCs w:val="22"/>
        </w:rPr>
        <w:t xml:space="preserve">, 2006:2(1), 33-42. </w:t>
      </w:r>
    </w:p>
    <w:p w:rsidR="00DF34BB" w:rsidRPr="00DF34BB" w:rsidRDefault="00DF34BB" w:rsidP="00DF34BB">
      <w:pPr>
        <w:spacing w:line="360" w:lineRule="auto"/>
        <w:rPr>
          <w:sz w:val="22"/>
          <w:szCs w:val="22"/>
        </w:rPr>
      </w:pPr>
    </w:p>
    <w:p w:rsidR="00DF34BB" w:rsidRPr="00E13FA7" w:rsidRDefault="00DF34BB" w:rsidP="00E13FA7">
      <w:pPr>
        <w:pStyle w:val="Lijstalinea"/>
        <w:numPr>
          <w:ilvl w:val="0"/>
          <w:numId w:val="5"/>
        </w:numPr>
        <w:spacing w:line="360" w:lineRule="auto"/>
        <w:rPr>
          <w:sz w:val="22"/>
          <w:szCs w:val="22"/>
        </w:rPr>
      </w:pPr>
      <w:proofErr w:type="spellStart"/>
      <w:r w:rsidRPr="00E13FA7">
        <w:rPr>
          <w:sz w:val="22"/>
          <w:szCs w:val="22"/>
        </w:rPr>
        <w:t>Haller</w:t>
      </w:r>
      <w:proofErr w:type="spellEnd"/>
      <w:r w:rsidRPr="00E13FA7">
        <w:rPr>
          <w:sz w:val="22"/>
          <w:szCs w:val="22"/>
        </w:rPr>
        <w:t xml:space="preserve">, J., &amp; Kruk M.R. (2006). </w:t>
      </w:r>
      <w:proofErr w:type="spellStart"/>
      <w:r w:rsidRPr="00E13FA7">
        <w:rPr>
          <w:sz w:val="22"/>
          <w:szCs w:val="22"/>
        </w:rPr>
        <w:t>Normal</w:t>
      </w:r>
      <w:proofErr w:type="spellEnd"/>
      <w:r w:rsidRPr="00E13FA7">
        <w:rPr>
          <w:sz w:val="22"/>
          <w:szCs w:val="22"/>
        </w:rPr>
        <w:t xml:space="preserve"> and </w:t>
      </w:r>
      <w:proofErr w:type="spellStart"/>
      <w:r w:rsidRPr="00E13FA7">
        <w:rPr>
          <w:sz w:val="22"/>
          <w:szCs w:val="22"/>
        </w:rPr>
        <w:t>abnormal</w:t>
      </w:r>
      <w:proofErr w:type="spellEnd"/>
      <w:r w:rsidRPr="00E13FA7">
        <w:rPr>
          <w:sz w:val="22"/>
          <w:szCs w:val="22"/>
        </w:rPr>
        <w:t xml:space="preserve"> </w:t>
      </w:r>
      <w:proofErr w:type="spellStart"/>
      <w:r w:rsidRPr="00E13FA7">
        <w:rPr>
          <w:sz w:val="22"/>
          <w:szCs w:val="22"/>
        </w:rPr>
        <w:t>aggression</w:t>
      </w:r>
      <w:proofErr w:type="spellEnd"/>
      <w:r w:rsidRPr="00E13FA7">
        <w:rPr>
          <w:sz w:val="22"/>
          <w:szCs w:val="22"/>
        </w:rPr>
        <w:t xml:space="preserve">: </w:t>
      </w:r>
      <w:proofErr w:type="spellStart"/>
      <w:r w:rsidRPr="00E13FA7">
        <w:rPr>
          <w:sz w:val="22"/>
          <w:szCs w:val="22"/>
        </w:rPr>
        <w:t>human</w:t>
      </w:r>
      <w:proofErr w:type="spellEnd"/>
      <w:r w:rsidRPr="00E13FA7">
        <w:rPr>
          <w:sz w:val="22"/>
          <w:szCs w:val="22"/>
        </w:rPr>
        <w:t xml:space="preserve"> and </w:t>
      </w:r>
      <w:proofErr w:type="spellStart"/>
      <w:r w:rsidRPr="00E13FA7">
        <w:rPr>
          <w:sz w:val="22"/>
          <w:szCs w:val="22"/>
        </w:rPr>
        <w:t>novel</w:t>
      </w:r>
      <w:proofErr w:type="spellEnd"/>
      <w:r w:rsidRPr="00E13FA7">
        <w:rPr>
          <w:sz w:val="22"/>
          <w:szCs w:val="22"/>
        </w:rPr>
        <w:t xml:space="preserve"> </w:t>
      </w:r>
      <w:proofErr w:type="spellStart"/>
      <w:r w:rsidRPr="00E13FA7">
        <w:rPr>
          <w:sz w:val="22"/>
          <w:szCs w:val="22"/>
        </w:rPr>
        <w:t>laboratory</w:t>
      </w:r>
      <w:proofErr w:type="spellEnd"/>
      <w:r w:rsidRPr="00E13FA7">
        <w:rPr>
          <w:sz w:val="22"/>
          <w:szCs w:val="22"/>
        </w:rPr>
        <w:t xml:space="preserve"> models. </w:t>
      </w:r>
      <w:proofErr w:type="spellStart"/>
      <w:r w:rsidRPr="00E13FA7">
        <w:rPr>
          <w:i/>
          <w:iCs/>
          <w:sz w:val="22"/>
          <w:szCs w:val="22"/>
        </w:rPr>
        <w:t>Neuroscience</w:t>
      </w:r>
      <w:proofErr w:type="spellEnd"/>
      <w:r w:rsidRPr="00E13FA7">
        <w:rPr>
          <w:i/>
          <w:iCs/>
          <w:sz w:val="22"/>
          <w:szCs w:val="22"/>
        </w:rPr>
        <w:t xml:space="preserve"> &amp; </w:t>
      </w:r>
      <w:proofErr w:type="spellStart"/>
      <w:r w:rsidRPr="00E13FA7">
        <w:rPr>
          <w:i/>
          <w:iCs/>
          <w:sz w:val="22"/>
          <w:szCs w:val="22"/>
        </w:rPr>
        <w:t>Biobehavioral</w:t>
      </w:r>
      <w:proofErr w:type="spellEnd"/>
      <w:r w:rsidRPr="00E13FA7">
        <w:rPr>
          <w:i/>
          <w:iCs/>
          <w:sz w:val="22"/>
          <w:szCs w:val="22"/>
        </w:rPr>
        <w:t xml:space="preserve"> Review</w:t>
      </w:r>
      <w:r w:rsidRPr="00E13FA7">
        <w:rPr>
          <w:sz w:val="22"/>
          <w:szCs w:val="22"/>
        </w:rPr>
        <w:t xml:space="preserve">, 30, 292-303 </w:t>
      </w:r>
    </w:p>
    <w:p w:rsidR="00DF34BB" w:rsidRPr="00DF34BB" w:rsidRDefault="00DF34BB" w:rsidP="00DF34BB">
      <w:pPr>
        <w:spacing w:line="360" w:lineRule="auto"/>
        <w:rPr>
          <w:sz w:val="22"/>
          <w:szCs w:val="22"/>
        </w:rPr>
      </w:pPr>
    </w:p>
    <w:p w:rsidR="00DF34BB" w:rsidRPr="00E13FA7" w:rsidRDefault="00DF34BB" w:rsidP="00E13FA7">
      <w:pPr>
        <w:pStyle w:val="Lijstalinea"/>
        <w:numPr>
          <w:ilvl w:val="0"/>
          <w:numId w:val="5"/>
        </w:numPr>
        <w:spacing w:line="360" w:lineRule="auto"/>
        <w:rPr>
          <w:sz w:val="22"/>
          <w:szCs w:val="22"/>
        </w:rPr>
      </w:pPr>
      <w:r w:rsidRPr="00E13FA7">
        <w:rPr>
          <w:sz w:val="22"/>
          <w:szCs w:val="22"/>
        </w:rPr>
        <w:t xml:space="preserve">Kloet, E.R. de (2009). Stress: neurobiologisch perspectief. </w:t>
      </w:r>
      <w:r w:rsidRPr="00E13FA7">
        <w:rPr>
          <w:i/>
          <w:iCs/>
          <w:sz w:val="22"/>
          <w:szCs w:val="22"/>
        </w:rPr>
        <w:t>Tijdschrift voor psychiatrie,</w:t>
      </w:r>
      <w:r w:rsidRPr="00E13FA7">
        <w:rPr>
          <w:sz w:val="22"/>
          <w:szCs w:val="22"/>
        </w:rPr>
        <w:t xml:space="preserve"> 51, 541-550. </w:t>
      </w:r>
    </w:p>
    <w:p w:rsidR="00DF34BB" w:rsidRPr="00DF34BB" w:rsidRDefault="00DF34BB" w:rsidP="00DF34BB">
      <w:pPr>
        <w:spacing w:line="360" w:lineRule="auto"/>
        <w:rPr>
          <w:sz w:val="22"/>
          <w:szCs w:val="22"/>
        </w:rPr>
      </w:pPr>
    </w:p>
    <w:p w:rsidR="00DF34BB" w:rsidRPr="00E13FA7" w:rsidRDefault="00DF34BB" w:rsidP="00E13FA7">
      <w:pPr>
        <w:pStyle w:val="Lijstalinea"/>
        <w:numPr>
          <w:ilvl w:val="0"/>
          <w:numId w:val="5"/>
        </w:numPr>
        <w:spacing w:line="360" w:lineRule="auto"/>
        <w:rPr>
          <w:sz w:val="22"/>
          <w:szCs w:val="22"/>
        </w:rPr>
      </w:pPr>
      <w:r w:rsidRPr="00E13FA7">
        <w:rPr>
          <w:sz w:val="22"/>
          <w:szCs w:val="22"/>
        </w:rPr>
        <w:t xml:space="preserve">Kloet, E.R. de, Joëls, M., &amp; Holsboer, F. (2005). Stress and the </w:t>
      </w:r>
      <w:proofErr w:type="spellStart"/>
      <w:r w:rsidRPr="00E13FA7">
        <w:rPr>
          <w:sz w:val="22"/>
          <w:szCs w:val="22"/>
        </w:rPr>
        <w:t>brain</w:t>
      </w:r>
      <w:proofErr w:type="spellEnd"/>
      <w:r w:rsidRPr="00E13FA7">
        <w:rPr>
          <w:sz w:val="22"/>
          <w:szCs w:val="22"/>
        </w:rPr>
        <w:t xml:space="preserve">: </w:t>
      </w:r>
      <w:proofErr w:type="spellStart"/>
      <w:r w:rsidRPr="00E13FA7">
        <w:rPr>
          <w:sz w:val="22"/>
          <w:szCs w:val="22"/>
        </w:rPr>
        <w:t>from</w:t>
      </w:r>
      <w:proofErr w:type="spellEnd"/>
      <w:r w:rsidRPr="00E13FA7">
        <w:rPr>
          <w:sz w:val="22"/>
          <w:szCs w:val="22"/>
        </w:rPr>
        <w:t xml:space="preserve"> </w:t>
      </w:r>
      <w:proofErr w:type="spellStart"/>
      <w:r w:rsidRPr="00E13FA7">
        <w:rPr>
          <w:sz w:val="22"/>
          <w:szCs w:val="22"/>
        </w:rPr>
        <w:t>adaptation</w:t>
      </w:r>
      <w:proofErr w:type="spellEnd"/>
      <w:r w:rsidRPr="00E13FA7">
        <w:rPr>
          <w:sz w:val="22"/>
          <w:szCs w:val="22"/>
        </w:rPr>
        <w:t xml:space="preserve"> to </w:t>
      </w:r>
      <w:proofErr w:type="spellStart"/>
      <w:r w:rsidRPr="00E13FA7">
        <w:rPr>
          <w:sz w:val="22"/>
          <w:szCs w:val="22"/>
        </w:rPr>
        <w:t>disease</w:t>
      </w:r>
      <w:proofErr w:type="spellEnd"/>
      <w:r w:rsidRPr="00E13FA7">
        <w:rPr>
          <w:sz w:val="22"/>
          <w:szCs w:val="22"/>
        </w:rPr>
        <w:t xml:space="preserve">. </w:t>
      </w:r>
      <w:r w:rsidRPr="00E13FA7">
        <w:rPr>
          <w:i/>
          <w:iCs/>
          <w:sz w:val="22"/>
          <w:szCs w:val="22"/>
        </w:rPr>
        <w:t xml:space="preserve">Nature </w:t>
      </w:r>
      <w:proofErr w:type="spellStart"/>
      <w:r w:rsidRPr="00E13FA7">
        <w:rPr>
          <w:i/>
          <w:iCs/>
          <w:sz w:val="22"/>
          <w:szCs w:val="22"/>
        </w:rPr>
        <w:t>Reviews</w:t>
      </w:r>
      <w:proofErr w:type="spellEnd"/>
      <w:r w:rsidRPr="00E13FA7">
        <w:rPr>
          <w:i/>
          <w:iCs/>
          <w:sz w:val="22"/>
          <w:szCs w:val="22"/>
        </w:rPr>
        <w:t xml:space="preserve"> </w:t>
      </w:r>
      <w:proofErr w:type="spellStart"/>
      <w:r w:rsidRPr="00E13FA7">
        <w:rPr>
          <w:i/>
          <w:iCs/>
          <w:sz w:val="22"/>
          <w:szCs w:val="22"/>
        </w:rPr>
        <w:t>Neuroscience</w:t>
      </w:r>
      <w:proofErr w:type="spellEnd"/>
      <w:r w:rsidRPr="00E13FA7">
        <w:rPr>
          <w:i/>
          <w:iCs/>
          <w:sz w:val="22"/>
          <w:szCs w:val="22"/>
        </w:rPr>
        <w:t>,</w:t>
      </w:r>
      <w:r w:rsidRPr="00E13FA7">
        <w:rPr>
          <w:sz w:val="22"/>
          <w:szCs w:val="22"/>
        </w:rPr>
        <w:t xml:space="preserve"> 6, 463-475. </w:t>
      </w:r>
    </w:p>
    <w:p w:rsidR="00DF34BB" w:rsidRDefault="00DF34BB" w:rsidP="00DF34BB">
      <w:pPr>
        <w:spacing w:line="360" w:lineRule="auto"/>
        <w:rPr>
          <w:sz w:val="22"/>
          <w:szCs w:val="22"/>
        </w:rPr>
      </w:pPr>
    </w:p>
    <w:p w:rsidR="00DF34BB" w:rsidRPr="00E13FA7" w:rsidRDefault="00DF34BB" w:rsidP="00E13FA7">
      <w:pPr>
        <w:pStyle w:val="Lijstalinea"/>
        <w:numPr>
          <w:ilvl w:val="0"/>
          <w:numId w:val="5"/>
        </w:numPr>
        <w:spacing w:line="360" w:lineRule="auto"/>
        <w:rPr>
          <w:b/>
          <w:sz w:val="22"/>
          <w:szCs w:val="22"/>
        </w:rPr>
      </w:pPr>
      <w:r w:rsidRPr="00E13FA7">
        <w:rPr>
          <w:b/>
          <w:sz w:val="22"/>
          <w:szCs w:val="22"/>
        </w:rPr>
        <w:t>En tot slot de practicumhandleiding</w:t>
      </w:r>
      <w:r w:rsidR="00E13FA7" w:rsidRPr="00E13FA7">
        <w:rPr>
          <w:b/>
          <w:sz w:val="22"/>
          <w:szCs w:val="22"/>
        </w:rPr>
        <w:t>:</w:t>
      </w:r>
    </w:p>
    <w:p w:rsidR="00DF34BB" w:rsidRPr="00E13FA7" w:rsidRDefault="00DF34BB" w:rsidP="00E13FA7">
      <w:pPr>
        <w:pStyle w:val="Lijstalinea"/>
        <w:spacing w:line="360" w:lineRule="auto"/>
        <w:rPr>
          <w:sz w:val="22"/>
          <w:szCs w:val="22"/>
        </w:rPr>
      </w:pPr>
      <w:r w:rsidRPr="00E13FA7">
        <w:rPr>
          <w:color w:val="00000A"/>
          <w:sz w:val="22"/>
          <w:szCs w:val="22"/>
        </w:rPr>
        <w:t xml:space="preserve">Boor, P.K.I., Wagemans, C., Beekman, M. Van </w:t>
      </w:r>
      <w:proofErr w:type="spellStart"/>
      <w:r w:rsidRPr="00E13FA7">
        <w:rPr>
          <w:color w:val="00000A"/>
          <w:sz w:val="22"/>
          <w:szCs w:val="22"/>
        </w:rPr>
        <w:t>Zelm</w:t>
      </w:r>
      <w:proofErr w:type="spellEnd"/>
      <w:r w:rsidRPr="00E13FA7">
        <w:rPr>
          <w:color w:val="00000A"/>
          <w:sz w:val="22"/>
          <w:szCs w:val="22"/>
        </w:rPr>
        <w:t xml:space="preserve">, E., Hoekman, M.F. (2006). </w:t>
      </w:r>
      <w:r w:rsidRPr="00E13FA7">
        <w:rPr>
          <w:i/>
          <w:iCs/>
          <w:color w:val="00000A"/>
          <w:sz w:val="22"/>
          <w:szCs w:val="22"/>
        </w:rPr>
        <w:t>Practicumhandleiding Celbiologie – Psychobiologie (3</w:t>
      </w:r>
      <w:r w:rsidRPr="00E13FA7">
        <w:rPr>
          <w:i/>
          <w:iCs/>
          <w:color w:val="00000A"/>
          <w:sz w:val="22"/>
          <w:szCs w:val="22"/>
          <w:vertAlign w:val="superscript"/>
        </w:rPr>
        <w:t>e</w:t>
      </w:r>
      <w:r w:rsidRPr="00E13FA7">
        <w:rPr>
          <w:i/>
          <w:iCs/>
          <w:color w:val="00000A"/>
          <w:sz w:val="22"/>
          <w:szCs w:val="22"/>
        </w:rPr>
        <w:t xml:space="preserve"> ed.)</w:t>
      </w:r>
      <w:r w:rsidRPr="00E13FA7">
        <w:rPr>
          <w:color w:val="00000A"/>
          <w:sz w:val="22"/>
          <w:szCs w:val="22"/>
        </w:rPr>
        <w:t xml:space="preserve"> Universiteit van Amsterdam. </w:t>
      </w:r>
    </w:p>
    <w:p w:rsidR="00DF34BB" w:rsidRPr="00DF34BB" w:rsidRDefault="00DF34BB" w:rsidP="00DF34BB">
      <w:pPr>
        <w:spacing w:line="360" w:lineRule="auto"/>
        <w:rPr>
          <w:sz w:val="22"/>
          <w:szCs w:val="22"/>
        </w:rPr>
      </w:pPr>
    </w:p>
    <w:p w:rsidR="00DF34BB" w:rsidRPr="00DF34BB" w:rsidRDefault="00DF34BB" w:rsidP="00DF34BB">
      <w:pPr>
        <w:spacing w:line="360" w:lineRule="auto"/>
        <w:rPr>
          <w:sz w:val="22"/>
          <w:szCs w:val="22"/>
        </w:rPr>
      </w:pPr>
    </w:p>
    <w:p w:rsidR="00DF34BB" w:rsidRPr="00DF34BB" w:rsidRDefault="00DF34BB" w:rsidP="00DF34BB">
      <w:pPr>
        <w:spacing w:line="360" w:lineRule="auto"/>
        <w:rPr>
          <w:sz w:val="22"/>
          <w:szCs w:val="22"/>
        </w:rPr>
      </w:pPr>
    </w:p>
    <w:p w:rsidR="00DF34BB" w:rsidRPr="00DF34BB" w:rsidRDefault="00DF34BB" w:rsidP="000346B6">
      <w:pPr>
        <w:spacing w:line="360" w:lineRule="auto"/>
        <w:rPr>
          <w:sz w:val="22"/>
          <w:szCs w:val="22"/>
        </w:rPr>
      </w:pPr>
    </w:p>
    <w:p w:rsidR="00602859" w:rsidRPr="00DF34BB" w:rsidRDefault="00602859">
      <w:pPr>
        <w:rPr>
          <w:sz w:val="22"/>
          <w:szCs w:val="22"/>
        </w:rPr>
      </w:pPr>
    </w:p>
    <w:sectPr w:rsidR="00602859" w:rsidRPr="00DF34BB" w:rsidSect="001D3FE8">
      <w:footerReference w:type="even" r:id="rId13"/>
      <w:footerReference w:type="default" r:id="rId14"/>
      <w:pgSz w:w="11900" w:h="16840"/>
      <w:pgMar w:top="1417" w:right="1417" w:bottom="1417" w:left="1417" w:gutter="0"/>
      <w:pgNumType w:start="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859" w:rsidRDefault="00602859" w:rsidP="001D3FE8">
      <w:r>
        <w:separator/>
      </w:r>
    </w:p>
  </w:endnote>
  <w:endnote w:type="continuationSeparator" w:id="0">
    <w:p w:rsidR="00602859" w:rsidRDefault="00602859" w:rsidP="001D3FE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Palatino Linotype">
    <w:altName w:val="Palatino"/>
    <w:charset w:val="00"/>
    <w:family w:val="roman"/>
    <w:pitch w:val="variable"/>
    <w:sig w:usb0="E0000287" w:usb1="40000013" w:usb2="00000000" w:usb3="00000000" w:csb0="0000019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59" w:rsidRDefault="00602859" w:rsidP="00602859">
    <w:pPr>
      <w:pStyle w:val="Voettekst"/>
      <w:framePr w:wrap="none" w:vAnchor="text" w:hAnchor="margin" w:xAlign="right" w:y="1"/>
      <w:rPr>
        <w:rStyle w:val="Paginanummer"/>
        <w:rFonts w:cs="Times New Roman"/>
        <w:szCs w:val="20"/>
      </w:rPr>
    </w:pPr>
    <w:r>
      <w:rPr>
        <w:rStyle w:val="Paginanummer"/>
      </w:rPr>
      <w:fldChar w:fldCharType="begin"/>
    </w:r>
    <w:r>
      <w:rPr>
        <w:rStyle w:val="Paginanummer"/>
      </w:rPr>
      <w:instrText xml:space="preserve">PAGE  </w:instrText>
    </w:r>
    <w:r>
      <w:rPr>
        <w:rStyle w:val="Paginanummer"/>
      </w:rPr>
      <w:fldChar w:fldCharType="end"/>
    </w:r>
  </w:p>
  <w:p w:rsidR="00602859" w:rsidRDefault="00602859" w:rsidP="001D3FE8">
    <w:pPr>
      <w:pStyle w:val="Voettekst"/>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59" w:rsidRDefault="00602859" w:rsidP="00602859">
    <w:pPr>
      <w:pStyle w:val="Voettekst"/>
      <w:framePr w:wrap="none" w:vAnchor="text" w:hAnchor="margin" w:xAlign="right" w:y="1"/>
      <w:rPr>
        <w:rStyle w:val="Paginanummer"/>
        <w:rFonts w:cs="Times New Roman"/>
        <w:szCs w:val="20"/>
      </w:rPr>
    </w:pPr>
    <w:r>
      <w:rPr>
        <w:rStyle w:val="Paginanummer"/>
      </w:rPr>
      <w:fldChar w:fldCharType="begin"/>
    </w:r>
    <w:r>
      <w:rPr>
        <w:rStyle w:val="Paginanummer"/>
      </w:rPr>
      <w:instrText xml:space="preserve">PAGE  </w:instrText>
    </w:r>
    <w:r>
      <w:rPr>
        <w:rStyle w:val="Paginanummer"/>
      </w:rPr>
      <w:fldChar w:fldCharType="separate"/>
    </w:r>
    <w:r w:rsidR="00326A8B">
      <w:rPr>
        <w:rStyle w:val="Paginanummer"/>
        <w:noProof/>
      </w:rPr>
      <w:t>1</w:t>
    </w:r>
    <w:r>
      <w:rPr>
        <w:rStyle w:val="Paginanummer"/>
      </w:rPr>
      <w:fldChar w:fldCharType="end"/>
    </w:r>
  </w:p>
  <w:p w:rsidR="00602859" w:rsidRDefault="00602859" w:rsidP="001D3FE8">
    <w:pPr>
      <w:pStyle w:val="Voettekst"/>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859" w:rsidRDefault="00602859" w:rsidP="001D3FE8">
      <w:r>
        <w:separator/>
      </w:r>
    </w:p>
  </w:footnote>
  <w:footnote w:type="continuationSeparator" w:id="0">
    <w:p w:rsidR="00602859" w:rsidRDefault="00602859" w:rsidP="001D3FE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537"/>
    <w:multiLevelType w:val="hybridMultilevel"/>
    <w:tmpl w:val="79122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3307D86"/>
    <w:multiLevelType w:val="hybridMultilevel"/>
    <w:tmpl w:val="928EF8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9976C83"/>
    <w:multiLevelType w:val="hybridMultilevel"/>
    <w:tmpl w:val="A218EB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26B0763"/>
    <w:multiLevelType w:val="hybridMultilevel"/>
    <w:tmpl w:val="4438A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D83563D"/>
    <w:multiLevelType w:val="multilevel"/>
    <w:tmpl w:val="4CB29DCE"/>
    <w:lvl w:ilvl="0">
      <w:start w:val="1"/>
      <w:numFmt w:val="bullet"/>
      <w:lvlText w:val="-"/>
      <w:lvlJc w:val="left"/>
      <w:pPr>
        <w:ind w:left="720" w:hanging="360"/>
      </w:pPr>
      <w:rPr>
        <w:rFonts w:ascii="Palatino Linotype" w:hAnsi="Palatino Linotype" w:cs="Palatino Lino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savePreviewPicture/>
  <w:footnotePr>
    <w:footnote w:id="-1"/>
    <w:footnote w:id="0"/>
  </w:footnotePr>
  <w:endnotePr>
    <w:endnote w:id="-1"/>
    <w:endnote w:id="0"/>
  </w:endnotePr>
  <w:compat/>
  <w:rsids>
    <w:rsidRoot w:val="000346B6"/>
    <w:rsid w:val="000023A7"/>
    <w:rsid w:val="00016949"/>
    <w:rsid w:val="000346B6"/>
    <w:rsid w:val="000545A8"/>
    <w:rsid w:val="00077B17"/>
    <w:rsid w:val="000A2D79"/>
    <w:rsid w:val="000D0C1F"/>
    <w:rsid w:val="00151C8B"/>
    <w:rsid w:val="001535C5"/>
    <w:rsid w:val="001A159D"/>
    <w:rsid w:val="001D20C1"/>
    <w:rsid w:val="001D3FE8"/>
    <w:rsid w:val="0021360B"/>
    <w:rsid w:val="002200B1"/>
    <w:rsid w:val="002470EB"/>
    <w:rsid w:val="00262129"/>
    <w:rsid w:val="002D47A1"/>
    <w:rsid w:val="002F3B19"/>
    <w:rsid w:val="00316ED3"/>
    <w:rsid w:val="00326A8B"/>
    <w:rsid w:val="00347EEB"/>
    <w:rsid w:val="003510A2"/>
    <w:rsid w:val="00354E43"/>
    <w:rsid w:val="00363DDC"/>
    <w:rsid w:val="003746AF"/>
    <w:rsid w:val="003857D1"/>
    <w:rsid w:val="00431649"/>
    <w:rsid w:val="0044729C"/>
    <w:rsid w:val="00476555"/>
    <w:rsid w:val="00500352"/>
    <w:rsid w:val="00520CAA"/>
    <w:rsid w:val="0058027C"/>
    <w:rsid w:val="005845A6"/>
    <w:rsid w:val="005A4774"/>
    <w:rsid w:val="005D344A"/>
    <w:rsid w:val="00602859"/>
    <w:rsid w:val="00614AAA"/>
    <w:rsid w:val="0063679D"/>
    <w:rsid w:val="006A30A8"/>
    <w:rsid w:val="006D3721"/>
    <w:rsid w:val="006F4676"/>
    <w:rsid w:val="00712248"/>
    <w:rsid w:val="00767447"/>
    <w:rsid w:val="0078003E"/>
    <w:rsid w:val="00787913"/>
    <w:rsid w:val="007C3DA2"/>
    <w:rsid w:val="007E65F5"/>
    <w:rsid w:val="007E769B"/>
    <w:rsid w:val="0080376D"/>
    <w:rsid w:val="00857E5C"/>
    <w:rsid w:val="008750BD"/>
    <w:rsid w:val="00880E2F"/>
    <w:rsid w:val="008F3595"/>
    <w:rsid w:val="008F7054"/>
    <w:rsid w:val="009373BE"/>
    <w:rsid w:val="00983A54"/>
    <w:rsid w:val="009923A0"/>
    <w:rsid w:val="009D7D2A"/>
    <w:rsid w:val="00A1095D"/>
    <w:rsid w:val="00A32CA1"/>
    <w:rsid w:val="00A82031"/>
    <w:rsid w:val="00A82211"/>
    <w:rsid w:val="00AA6488"/>
    <w:rsid w:val="00AC60A5"/>
    <w:rsid w:val="00B0031A"/>
    <w:rsid w:val="00B32B72"/>
    <w:rsid w:val="00B45D07"/>
    <w:rsid w:val="00B55DED"/>
    <w:rsid w:val="00BE084B"/>
    <w:rsid w:val="00C10F72"/>
    <w:rsid w:val="00CE1137"/>
    <w:rsid w:val="00D4264C"/>
    <w:rsid w:val="00D461C0"/>
    <w:rsid w:val="00D849C9"/>
    <w:rsid w:val="00DF34BB"/>
    <w:rsid w:val="00DF3ABB"/>
    <w:rsid w:val="00E13FA7"/>
    <w:rsid w:val="00E61039"/>
    <w:rsid w:val="00E73A48"/>
    <w:rsid w:val="00E73F4F"/>
    <w:rsid w:val="00ED4543"/>
    <w:rsid w:val="00F0771D"/>
    <w:rsid w:val="00F3791A"/>
    <w:rsid w:val="00F43A38"/>
    <w:rsid w:val="00F9463C"/>
    <w:rsid w:val="00FE7750"/>
  </w:rsids>
  <m:mathPr>
    <m:mathFont m:val="Wingdings 2"/>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346B6"/>
    <w:pPr>
      <w:suppressAutoHyphens/>
      <w:contextualSpacing/>
    </w:pPr>
    <w:rPr>
      <w:rFonts w:ascii="Palatino Linotype" w:eastAsia="Times New Roman" w:hAnsi="Palatino Linotype" w:cs="Times New Roman"/>
      <w:szCs w:val="20"/>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431649"/>
    <w:pPr>
      <w:ind w:left="720"/>
    </w:pPr>
  </w:style>
  <w:style w:type="character" w:customStyle="1" w:styleId="Internetkoppeling">
    <w:name w:val="Internetkoppeling"/>
    <w:rsid w:val="007E769B"/>
    <w:rPr>
      <w:color w:val="000080"/>
      <w:u w:val="single"/>
    </w:rPr>
  </w:style>
  <w:style w:type="character" w:customStyle="1" w:styleId="Geaccentueerd">
    <w:name w:val="Geaccentueerd"/>
    <w:basedOn w:val="Standaardalinea-lettertype"/>
    <w:rsid w:val="000545A8"/>
    <w:rPr>
      <w:i/>
      <w:iCs/>
    </w:rPr>
  </w:style>
  <w:style w:type="paragraph" w:customStyle="1" w:styleId="Inhoudtabel">
    <w:name w:val="Inhoud tabel"/>
    <w:basedOn w:val="Normaal"/>
    <w:rsid w:val="000545A8"/>
    <w:rPr>
      <w:color w:val="00000A"/>
    </w:rPr>
  </w:style>
  <w:style w:type="paragraph" w:customStyle="1" w:styleId="Tabel">
    <w:name w:val="Tabel"/>
    <w:basedOn w:val="Bijschrift"/>
    <w:rsid w:val="000545A8"/>
    <w:pPr>
      <w:spacing w:after="0"/>
    </w:pPr>
    <w:rPr>
      <w:b/>
      <w:bCs/>
      <w:i w:val="0"/>
      <w:iCs w:val="0"/>
      <w:color w:val="00000A"/>
      <w:sz w:val="20"/>
      <w:szCs w:val="20"/>
    </w:rPr>
  </w:style>
  <w:style w:type="paragraph" w:styleId="Bijschrift">
    <w:name w:val="caption"/>
    <w:basedOn w:val="Normaal"/>
    <w:next w:val="Normaal"/>
    <w:uiPriority w:val="35"/>
    <w:semiHidden/>
    <w:unhideWhenUsed/>
    <w:qFormat/>
    <w:rsid w:val="000545A8"/>
    <w:pPr>
      <w:spacing w:after="200"/>
    </w:pPr>
    <w:rPr>
      <w:i/>
      <w:iCs/>
      <w:color w:val="44546A" w:themeColor="text2"/>
      <w:sz w:val="18"/>
      <w:szCs w:val="18"/>
    </w:rPr>
  </w:style>
  <w:style w:type="character" w:customStyle="1" w:styleId="VoettekstTeken">
    <w:name w:val="Voettekst Teken"/>
    <w:link w:val="Voettekst"/>
    <w:uiPriority w:val="99"/>
    <w:rsid w:val="00A32CA1"/>
    <w:rPr>
      <w:rFonts w:ascii="Palatino Linotype" w:hAnsi="Palatino Linotype"/>
    </w:rPr>
  </w:style>
  <w:style w:type="paragraph" w:styleId="Voettekst">
    <w:name w:val="footer"/>
    <w:basedOn w:val="Normaal"/>
    <w:link w:val="VoettekstTeken"/>
    <w:uiPriority w:val="99"/>
    <w:rsid w:val="00A32CA1"/>
    <w:pPr>
      <w:tabs>
        <w:tab w:val="center" w:pos="4320"/>
        <w:tab w:val="right" w:pos="8640"/>
      </w:tabs>
    </w:pPr>
    <w:rPr>
      <w:rFonts w:eastAsiaTheme="minorHAnsi" w:cstheme="minorBidi"/>
      <w:szCs w:val="24"/>
    </w:rPr>
  </w:style>
  <w:style w:type="character" w:customStyle="1" w:styleId="VoettekstTeken1">
    <w:name w:val="Voettekst Teken1"/>
    <w:basedOn w:val="Standaardalinea-lettertype"/>
    <w:uiPriority w:val="99"/>
    <w:semiHidden/>
    <w:rsid w:val="00A32CA1"/>
    <w:rPr>
      <w:rFonts w:ascii="Palatino Linotype" w:eastAsia="Times New Roman" w:hAnsi="Palatino Linotype" w:cs="Times New Roman"/>
      <w:szCs w:val="20"/>
    </w:rPr>
  </w:style>
  <w:style w:type="character" w:styleId="Paginanummer">
    <w:name w:val="page number"/>
    <w:basedOn w:val="Standaardalinea-lettertype"/>
    <w:uiPriority w:val="99"/>
    <w:semiHidden/>
    <w:unhideWhenUsed/>
    <w:rsid w:val="001D3FE8"/>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2619</Words>
  <Characters>14929</Characters>
  <Application>Microsoft Macintosh Word</Application>
  <DocSecurity>0</DocSecurity>
  <Lines>124</Lines>
  <Paragraphs>29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vacirca</dc:creator>
  <cp:keywords/>
  <dc:description/>
  <cp:lastModifiedBy>Laura Koenders</cp:lastModifiedBy>
  <cp:revision>3</cp:revision>
  <dcterms:created xsi:type="dcterms:W3CDTF">2016-06-29T15:10:00Z</dcterms:created>
  <dcterms:modified xsi:type="dcterms:W3CDTF">2016-07-07T11:54:00Z</dcterms:modified>
</cp:coreProperties>
</file>