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CD" w:rsidRDefault="00D976CD" w:rsidP="00D976CD">
      <w:pPr>
        <w:spacing w:before="240" w:after="0" w:line="360" w:lineRule="auto"/>
        <w:jc w:val="center"/>
        <w:rPr>
          <w:b/>
          <w:lang w:val="en-US"/>
        </w:rPr>
      </w:pPr>
      <w:r>
        <w:rPr>
          <w:b/>
          <w:lang w:val="en-US"/>
        </w:rPr>
        <w:t>An MP who looks like me?</w:t>
      </w:r>
    </w:p>
    <w:p w:rsidR="00D976CD" w:rsidRDefault="00D976CD" w:rsidP="00D976CD">
      <w:pPr>
        <w:spacing w:before="240" w:after="0" w:line="360" w:lineRule="auto"/>
        <w:jc w:val="center"/>
        <w:rPr>
          <w:i/>
          <w:lang w:val="en-US"/>
        </w:rPr>
      </w:pPr>
      <w:r>
        <w:rPr>
          <w:i/>
          <w:lang w:val="en-US"/>
        </w:rPr>
        <w:t>Intersections of gender and ethnicity in the representational relationship between citizens and politicians</w:t>
      </w:r>
    </w:p>
    <w:p w:rsidR="00D976CD" w:rsidRDefault="00D976CD" w:rsidP="00D976CD">
      <w:pPr>
        <w:spacing w:before="240" w:after="0" w:line="360" w:lineRule="auto"/>
        <w:jc w:val="right"/>
        <w:rPr>
          <w:lang w:val="en-US"/>
        </w:rPr>
      </w:pPr>
      <w:r>
        <w:rPr>
          <w:lang w:val="en-US"/>
        </w:rPr>
        <w:t>Sanne van Oosten – PhD Candidate University of Amsterdam</w:t>
      </w:r>
    </w:p>
    <w:p w:rsidR="00D976CD" w:rsidRDefault="00D976CD" w:rsidP="00D976CD">
      <w:pPr>
        <w:spacing w:before="240" w:after="0" w:line="360" w:lineRule="auto"/>
        <w:jc w:val="right"/>
        <w:rPr>
          <w:lang w:val="en-US"/>
        </w:rPr>
      </w:pPr>
      <w:r>
        <w:rPr>
          <w:lang w:val="en-US"/>
        </w:rPr>
        <w:t>Supervision team:  Dr. Liza Mügge, Dr. Armèn Hakhverdian, Dr. Daphne van der Pas</w:t>
      </w:r>
    </w:p>
    <w:p w:rsidR="00D976CD" w:rsidRDefault="00D976CD" w:rsidP="00D976CD">
      <w:pPr>
        <w:spacing w:before="240" w:after="0" w:line="360" w:lineRule="auto"/>
        <w:rPr>
          <w:lang w:val="en-US"/>
        </w:rPr>
      </w:pPr>
      <w:r>
        <w:rPr>
          <w:b/>
          <w:lang w:val="en-US"/>
        </w:rPr>
        <w:t>Abstract</w:t>
      </w:r>
    </w:p>
    <w:p w:rsidR="00D976CD" w:rsidRDefault="00D976CD" w:rsidP="00D976CD">
      <w:pPr>
        <w:spacing w:before="240" w:line="360" w:lineRule="auto"/>
        <w:rPr>
          <w:i/>
          <w:iCs/>
          <w:lang w:val="en-US"/>
        </w:rPr>
      </w:pPr>
      <w:r>
        <w:rPr>
          <w:i/>
          <w:iCs/>
          <w:lang w:val="en-US"/>
        </w:rPr>
        <w:t xml:space="preserve">In which instances and how do intersections of gender and ethnicity shape the expectations and experiences of representation among individual citizens? In other words, how much does it matter to individual citizens to have an MP who looks like yourself and in which instances and how do citizens feel represented? I will test this with original survey experiments across the Netherlands, Germany and France. Representational relationships are not simple and linear: I do not assume that Dutch, German or French Turkish citizens will feel represented when there are enough parliamentarians of Turkish descent. While I emphasize that expectations and experiences of representation are shaped by identities, I move beyond the assumption that identities are tidy, top-down categories. I analyze identities from a bottom-up perspective and consider them to be mutually reinforcing, varying in degrees of membership and influenced by group status and experiences with discrimination. I will oversample ethnic minority citizens in each of the three countries, thus enabling a quadruple comparative design: not only are countries compared, but ethnic groups are also compared to each other, to the majority group and differences within ethnic groups are uncovered through this design. Intersections of gender and ethnicity shape evaluations of representatives and thus political equality and democracy. Despite the fact that our societies are diverse, our politics are far from equal. We need this data to help understand and overcome this. </w:t>
      </w:r>
    </w:p>
    <w:p w:rsidR="00D976CD" w:rsidRDefault="00D976CD" w:rsidP="00D976CD">
      <w:pPr>
        <w:spacing w:before="240" w:after="0" w:line="360" w:lineRule="auto"/>
        <w:rPr>
          <w:b/>
          <w:lang w:val="en-US"/>
        </w:rPr>
      </w:pPr>
      <w:r>
        <w:rPr>
          <w:b/>
          <w:lang w:val="en-US"/>
        </w:rPr>
        <w:t>Introduction</w:t>
      </w:r>
    </w:p>
    <w:p w:rsidR="00D976CD" w:rsidRDefault="00D976CD" w:rsidP="00D976CD">
      <w:pPr>
        <w:spacing w:before="240" w:after="0" w:line="360" w:lineRule="auto"/>
        <w:rPr>
          <w:lang w:val="en-US"/>
        </w:rPr>
      </w:pPr>
      <w:r>
        <w:rPr>
          <w:lang w:val="en-US"/>
        </w:rPr>
        <w:t xml:space="preserve">In November 2014 the commercial research agency </w:t>
      </w:r>
      <w:proofErr w:type="spellStart"/>
      <w:r>
        <w:rPr>
          <w:lang w:val="en-US"/>
        </w:rPr>
        <w:t>Motivaction</w:t>
      </w:r>
      <w:proofErr w:type="spellEnd"/>
      <w:r>
        <w:rPr>
          <w:lang w:val="en-US"/>
        </w:rPr>
        <w:t xml:space="preserve"> published a report which seemed to show that 90% of Turkish youngsters in the Netherlands think that people who go to Syria to support Islamic State are heroes </w:t>
      </w:r>
      <w:r>
        <w:rPr>
          <w:lang w:val="en-US"/>
        </w:rPr>
        <w:fldChar w:fldCharType="begin" w:fldLock="1"/>
      </w:r>
      <w:r>
        <w:rPr>
          <w:lang w:val="en-US"/>
        </w:rPr>
        <w:instrText>ADDIN CSL_CITATION {"citationItems":[{"id":"ITEM-1","itemData":{"author":[{"dropping-particle":"","family":"Motivaction","given":"","non-dropping-particle":"","parse-names":false,"suffix":""}],"id":"ITEM-1","issued":{"date-parts":[["2014"]]},"title":"Nederlandse moslimjongeren en de Arabische Herfst","type":"report"},"locator":"11","uris":["http://www.mendeley.com/documents/?uuid=b7368147-6f8a-37a1-a8b1-d6bf75955685"]}],"mendeley":{"formattedCitation":"(Motivaction, 2014, p. 11)","plainTextFormattedCitation":"(Motivaction, 2014, p. 11)","previouslyFormattedCitation":"(Motivaction, 2014, p. 11)"},"properties":{"noteIndex":0},"schema":"https://github.com/citation-style-language/schema/raw/master/csl-citation.json"}</w:instrText>
      </w:r>
      <w:r>
        <w:rPr>
          <w:lang w:val="en-US"/>
        </w:rPr>
        <w:fldChar w:fldCharType="separate"/>
      </w:r>
      <w:r>
        <w:rPr>
          <w:noProof/>
          <w:lang w:val="en-US"/>
        </w:rPr>
        <w:t>(Motivaction, 2014, p. 11)</w:t>
      </w:r>
      <w:r>
        <w:rPr>
          <w:lang w:val="en-US"/>
        </w:rPr>
        <w:fldChar w:fldCharType="end"/>
      </w:r>
      <w:r>
        <w:rPr>
          <w:lang w:val="en-US"/>
        </w:rPr>
        <w:t xml:space="preserve"> and that 80% think that violence is justified </w:t>
      </w:r>
      <w:r>
        <w:rPr>
          <w:lang w:val="en-US"/>
        </w:rPr>
        <w:fldChar w:fldCharType="begin" w:fldLock="1"/>
      </w:r>
      <w:r>
        <w:rPr>
          <w:lang w:val="en-US"/>
        </w:rPr>
        <w:instrText>ADDIN CSL_CITATION {"citationItems":[{"id":"ITEM-1","itemData":{"author":[{"dropping-particle":"","family":"Motivaction","given":"","non-dropping-particle":"","parse-names":false,"suffix":""}],"id":"ITEM-1","issued":{"date-parts":[["2014"]]},"title":"Nederlandse moslimjongeren en de Arabische Herfst","type":"report"},"locator":"10","uris":["http://www.mendeley.com/documents/?uuid=b7368147-6f8a-37a1-a8b1-d6bf75955685"]}],"mendeley":{"formattedCitation":"(Motivaction, 2014, p. 10)","plainTextFormattedCitation":"(Motivaction, 2014, p. 10)","previouslyFormattedCitation":"(Motivaction, 2014, p. 10)"},"properties":{"noteIndex":0},"schema":"https://github.com/citation-style-language/schema/raw/master/csl-citation.json"}</w:instrText>
      </w:r>
      <w:r>
        <w:rPr>
          <w:lang w:val="en-US"/>
        </w:rPr>
        <w:fldChar w:fldCharType="separate"/>
      </w:r>
      <w:r>
        <w:rPr>
          <w:noProof/>
          <w:lang w:val="en-US"/>
        </w:rPr>
        <w:t>(Motivaction, 2014, p. 10)</w:t>
      </w:r>
      <w:r>
        <w:rPr>
          <w:lang w:val="en-US"/>
        </w:rPr>
        <w:fldChar w:fldCharType="end"/>
      </w:r>
      <w:r>
        <w:rPr>
          <w:lang w:val="en-US"/>
        </w:rPr>
        <w:t xml:space="preserve">. The former Minister of Social Affairs for the Dutch </w:t>
      </w:r>
      <w:proofErr w:type="spellStart"/>
      <w:r>
        <w:rPr>
          <w:lang w:val="en-US"/>
        </w:rPr>
        <w:t>Labour</w:t>
      </w:r>
      <w:proofErr w:type="spellEnd"/>
      <w:r>
        <w:rPr>
          <w:lang w:val="en-US"/>
        </w:rPr>
        <w:t xml:space="preserve"> Party (</w:t>
      </w:r>
      <w:proofErr w:type="spellStart"/>
      <w:r>
        <w:rPr>
          <w:lang w:val="en-US"/>
        </w:rPr>
        <w:t>PvdA</w:t>
      </w:r>
      <w:proofErr w:type="spellEnd"/>
      <w:r>
        <w:rPr>
          <w:lang w:val="en-US"/>
        </w:rPr>
        <w:t xml:space="preserve">), </w:t>
      </w:r>
      <w:proofErr w:type="spellStart"/>
      <w:r>
        <w:rPr>
          <w:lang w:val="en-US"/>
        </w:rPr>
        <w:t>Lodewijk</w:t>
      </w:r>
      <w:proofErr w:type="spellEnd"/>
      <w:r>
        <w:rPr>
          <w:lang w:val="en-US"/>
        </w:rPr>
        <w:t xml:space="preserve"> </w:t>
      </w:r>
      <w:proofErr w:type="spellStart"/>
      <w:r>
        <w:rPr>
          <w:lang w:val="en-US"/>
        </w:rPr>
        <w:t>Asscher</w:t>
      </w:r>
      <w:proofErr w:type="spellEnd"/>
      <w:r>
        <w:rPr>
          <w:lang w:val="en-US"/>
        </w:rPr>
        <w:t xml:space="preserve">, had commissioned the research to be done and ‘conveniently’ </w:t>
      </w:r>
      <w:r>
        <w:rPr>
          <w:lang w:val="en-US"/>
        </w:rPr>
        <w:fldChar w:fldCharType="begin" w:fldLock="1"/>
      </w:r>
      <w:r>
        <w:rPr>
          <w:lang w:val="en-US"/>
        </w:rPr>
        <w:instrText>ADDIN CSL_CITATION {"citationItems":[{"id":"ITEM-1","itemData":{"author":[{"dropping-particle":"","family":"VPRO","given":"","non-dropping-particle":"","parse-names":false,"suffix":""}],"id":"ITEM-1","issued":{"date-parts":[["2015"]]},"page":"Argos TV","publisher":"Medialogica","title":"De gewenste resultaten","type":"motion_picture"},"uris":["http://www.mendeley.com/documents/?uuid=d650f32a-79fc-38f3-9d10-ef0fc04601d7"]}],"mendeley":{"formattedCitation":"(VPRO, 2015)","plainTextFormattedCitation":"(VPRO, 2015)","previouslyFormattedCitation":"(VPRO, 2015)"},"properties":{"noteIndex":0},"schema":"https://github.com/citation-style-language/schema/raw/master/csl-citation.json"}</w:instrText>
      </w:r>
      <w:r>
        <w:rPr>
          <w:lang w:val="en-US"/>
        </w:rPr>
        <w:fldChar w:fldCharType="separate"/>
      </w:r>
      <w:r>
        <w:rPr>
          <w:noProof/>
          <w:lang w:val="en-US"/>
        </w:rPr>
        <w:t>(VPRO, 2015)</w:t>
      </w:r>
      <w:r>
        <w:rPr>
          <w:lang w:val="en-US"/>
        </w:rPr>
        <w:fldChar w:fldCharType="end"/>
      </w:r>
      <w:r>
        <w:rPr>
          <w:lang w:val="en-US"/>
        </w:rPr>
        <w:t xml:space="preserve"> published just a day before an important debate on integration. Two Dutch Turkish members of parliament of the </w:t>
      </w:r>
      <w:proofErr w:type="spellStart"/>
      <w:r>
        <w:rPr>
          <w:lang w:val="en-US"/>
        </w:rPr>
        <w:t>PvdA</w:t>
      </w:r>
      <w:proofErr w:type="spellEnd"/>
      <w:r>
        <w:rPr>
          <w:lang w:val="en-US"/>
        </w:rPr>
        <w:t xml:space="preserve">, </w:t>
      </w:r>
      <w:proofErr w:type="spellStart"/>
      <w:r>
        <w:rPr>
          <w:lang w:val="en-US"/>
        </w:rPr>
        <w:t>Tunahan</w:t>
      </w:r>
      <w:proofErr w:type="spellEnd"/>
      <w:r>
        <w:rPr>
          <w:lang w:val="en-US"/>
        </w:rPr>
        <w:t xml:space="preserve"> </w:t>
      </w:r>
      <w:proofErr w:type="spellStart"/>
      <w:r>
        <w:rPr>
          <w:lang w:val="en-US"/>
        </w:rPr>
        <w:t>Kuzu</w:t>
      </w:r>
      <w:proofErr w:type="spellEnd"/>
      <w:r>
        <w:rPr>
          <w:lang w:val="en-US"/>
        </w:rPr>
        <w:t xml:space="preserve"> and </w:t>
      </w:r>
      <w:proofErr w:type="spellStart"/>
      <w:r>
        <w:rPr>
          <w:lang w:val="en-US"/>
        </w:rPr>
        <w:t>Selҫuk</w:t>
      </w:r>
      <w:proofErr w:type="spellEnd"/>
      <w:r>
        <w:rPr>
          <w:lang w:val="en-US"/>
        </w:rPr>
        <w:t xml:space="preserve"> </w:t>
      </w:r>
      <w:proofErr w:type="spellStart"/>
      <w:r>
        <w:rPr>
          <w:lang w:val="en-US"/>
        </w:rPr>
        <w:t>Özturk</w:t>
      </w:r>
      <w:proofErr w:type="spellEnd"/>
      <w:r>
        <w:rPr>
          <w:lang w:val="en-US"/>
        </w:rPr>
        <w:t xml:space="preserve">, didn’t accept the results and were </w:t>
      </w:r>
      <w:r>
        <w:rPr>
          <w:lang w:val="en-US"/>
        </w:rPr>
        <w:lastRenderedPageBreak/>
        <w:t xml:space="preserve">subsequently expelled from the </w:t>
      </w:r>
      <w:proofErr w:type="spellStart"/>
      <w:r>
        <w:rPr>
          <w:lang w:val="en-US"/>
        </w:rPr>
        <w:t>PvdA</w:t>
      </w:r>
      <w:proofErr w:type="spellEnd"/>
      <w:r>
        <w:rPr>
          <w:lang w:val="en-US"/>
        </w:rPr>
        <w:t xml:space="preserve">, but kept their seats in Parliament. They announced that they would stay in Parliament ‘until the very end’ for ‘all the people who do not </w:t>
      </w:r>
      <w:r>
        <w:rPr>
          <w:i/>
          <w:lang w:val="en-US"/>
        </w:rPr>
        <w:t>feel</w:t>
      </w:r>
      <w:r>
        <w:rPr>
          <w:lang w:val="en-US"/>
        </w:rPr>
        <w:t xml:space="preserve"> represented’ </w:t>
      </w:r>
      <w:r>
        <w:rPr>
          <w:lang w:val="en-US"/>
        </w:rPr>
        <w:fldChar w:fldCharType="begin" w:fldLock="1"/>
      </w:r>
      <w:r>
        <w:rPr>
          <w:lang w:val="en-US"/>
        </w:rPr>
        <w:instrText>ADDIN CSL_CITATION {"citationItems":[{"id":"ITEM-1","itemData":{"author":[{"dropping-particle":"","family":"Volkskrant","given":"","non-dropping-particle":"","parse-names":false,"suffix":""}],"id":"ITEM-1","issued":{"date-parts":[["2014","11","14"]]},"title":"PvdA stuurt Turkse Kamerleden weg na kritiek op integratiebeleid Asscher","type":"article-newspaper"},"uris":["http://www.mendeley.com/documents/?uuid=00a123ef-ede2-35e5-9e7c-f384d3149f41"]}],"mendeley":{"formattedCitation":"(Volkskrant, 2014)","manualFormatting":"(Volkskrant, 2014, italics mine)","plainTextFormattedCitation":"(Volkskrant, 2014)","previouslyFormattedCitation":"(Volkskrant, 2014)"},"properties":{"noteIndex":0},"schema":"https://github.com/citation-style-language/schema/raw/master/csl-citation.json"}</w:instrText>
      </w:r>
      <w:r>
        <w:rPr>
          <w:lang w:val="en-US"/>
        </w:rPr>
        <w:fldChar w:fldCharType="separate"/>
      </w:r>
      <w:r>
        <w:rPr>
          <w:noProof/>
          <w:lang w:val="en-US"/>
        </w:rPr>
        <w:t>(Volkskrant, 2014, italics mine)</w:t>
      </w:r>
      <w:r>
        <w:rPr>
          <w:lang w:val="en-US"/>
        </w:rPr>
        <w:fldChar w:fldCharType="end"/>
      </w:r>
      <w:r>
        <w:rPr>
          <w:rStyle w:val="FootnoteReference"/>
          <w:lang w:val="en-US"/>
        </w:rPr>
        <w:footnoteReference w:id="1"/>
      </w:r>
      <w:r>
        <w:rPr>
          <w:lang w:val="en-US"/>
        </w:rPr>
        <w:t xml:space="preserve">. </w:t>
      </w:r>
    </w:p>
    <w:p w:rsidR="00D976CD" w:rsidRDefault="00D976CD" w:rsidP="00D976CD">
      <w:pPr>
        <w:spacing w:before="240" w:after="0" w:line="360" w:lineRule="auto"/>
        <w:ind w:firstLine="708"/>
        <w:rPr>
          <w:lang w:val="en-US"/>
        </w:rPr>
      </w:pPr>
      <w:proofErr w:type="spellStart"/>
      <w:r>
        <w:rPr>
          <w:lang w:val="en-US"/>
        </w:rPr>
        <w:t>Kuzu</w:t>
      </w:r>
      <w:proofErr w:type="spellEnd"/>
      <w:r>
        <w:rPr>
          <w:lang w:val="en-US"/>
        </w:rPr>
        <w:t xml:space="preserve"> and </w:t>
      </w:r>
      <w:proofErr w:type="spellStart"/>
      <w:r>
        <w:rPr>
          <w:lang w:val="en-US"/>
        </w:rPr>
        <w:t>Özturk</w:t>
      </w:r>
      <w:proofErr w:type="spellEnd"/>
      <w:r>
        <w:rPr>
          <w:lang w:val="en-US"/>
        </w:rPr>
        <w:t xml:space="preserve"> formed a new political party called DENK</w:t>
      </w:r>
      <w:r>
        <w:rPr>
          <w:rStyle w:val="FootnoteReference"/>
          <w:lang w:val="en-US"/>
        </w:rPr>
        <w:footnoteReference w:id="2"/>
      </w:r>
      <w:r>
        <w:rPr>
          <w:lang w:val="en-US"/>
        </w:rPr>
        <w:t xml:space="preserve">. They won three seats in Parliament in the 2017 parliamentary elections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2017","type":"webpage"},"uris":["http://www.mendeley.com/documents/?uuid=85d2b7b5-985b-3934-8ac3-61789395d23c"]}],"mendeley":{"formattedCitation":"(Kiesraad, 2017)","plainTextFormattedCitation":"(Kiesraad, 2017)","previouslyFormattedCitation":"(Kiesraad, 2017)"},"properties":{"noteIndex":0},"schema":"https://github.com/citation-style-language/schema/raw/master/csl-citation.json"}</w:instrText>
      </w:r>
      <w:r>
        <w:rPr>
          <w:lang w:val="en-US"/>
        </w:rPr>
        <w:fldChar w:fldCharType="separate"/>
      </w:r>
      <w:r>
        <w:rPr>
          <w:noProof/>
          <w:lang w:val="en-US"/>
        </w:rPr>
        <w:t>(Kiesraad, 2017)</w:t>
      </w:r>
      <w:r>
        <w:rPr>
          <w:lang w:val="en-US"/>
        </w:rPr>
        <w:fldChar w:fldCharType="end"/>
      </w:r>
      <w:r>
        <w:rPr>
          <w:lang w:val="en-US"/>
        </w:rPr>
        <w:t xml:space="preserve"> and established a considerable presence in many cities in the 2018 municipal elections </w:t>
      </w:r>
      <w:r>
        <w:rPr>
          <w:lang w:val="en-US"/>
        </w:rPr>
        <w:fldChar w:fldCharType="begin" w:fldLock="1"/>
      </w:r>
      <w:r>
        <w:rPr>
          <w:lang w:val="en-US"/>
        </w:rPr>
        <w:instrText>ADDIN CSL_CITATION {"citationItems":[{"id":"ITEM-1","itemData":{"URL":"https://nos.nl/artikel/2223623-bekijk-hier-alle-uitslagen-van-de-verkiezingen.html","author":[{"dropping-particle":"","family":"NOS","given":"","non-dropping-particle":"","parse-names":false,"suffix":""}],"id":"ITEM-1","issued":{"date-parts":[["2018"]]},"title":"Bekijk hier alle uitslagen van de verkiezingen","type":"webpage"},"uris":["http://www.mendeley.com/documents/?uuid=f040e566-9c99-31ce-98bd-29cd690746e6"]}],"mendeley":{"formattedCitation":"(NOS, 2018)","plainTextFormattedCitation":"(NOS, 2018)","previouslyFormattedCitation":"(NOS, 2018)"},"properties":{"noteIndex":0},"schema":"https://github.com/citation-style-language/schema/raw/master/csl-citation.json"}</w:instrText>
      </w:r>
      <w:r>
        <w:rPr>
          <w:lang w:val="en-US"/>
        </w:rPr>
        <w:fldChar w:fldCharType="separate"/>
      </w:r>
      <w:r>
        <w:rPr>
          <w:noProof/>
          <w:lang w:val="en-US"/>
        </w:rPr>
        <w:t>(NOS, 2018)</w:t>
      </w:r>
      <w:r>
        <w:rPr>
          <w:lang w:val="en-US"/>
        </w:rPr>
        <w:fldChar w:fldCharType="end"/>
      </w:r>
      <w:r>
        <w:rPr>
          <w:lang w:val="en-US"/>
        </w:rPr>
        <w:t xml:space="preserve"> as well. In interviews in the media their voters and candidates often underline they do not feel ‘represented’ (e.g. </w:t>
      </w:r>
      <w:r>
        <w:rPr>
          <w:lang w:val="en-US"/>
        </w:rPr>
        <w:fldChar w:fldCharType="begin" w:fldLock="1"/>
      </w:r>
      <w:r>
        <w:rPr>
          <w:lang w:val="en-US"/>
        </w:rPr>
        <w:instrText>ADDIN CSL_CITATION {"citationItems":[{"id":"ITEM-1","itemData":{"author":[{"dropping-particle":"","family":"NRC","given":"","non-dropping-particle":"","parse-names":false,"suffix":""}],"id":"ITEM-1","issued":{"date-parts":[["2018","3","16"]]},"title":"https://www.nrc.nl/nieuws/2018/03/16/flyeren-bij-de-moskee-a1595904","type":"article-newspaper"},"uris":["http://www.mendeley.com/documents/?uuid=4f3251ac-7cb9-3bbe-a749-7f632a76afb3"]}],"mendeley":{"formattedCitation":"(NRC, 2018)","manualFormatting":"NRC, 2018","plainTextFormattedCitation":"(NRC, 2018)","previouslyFormattedCitation":"(NRC, 2018)"},"properties":{"noteIndex":0},"schema":"https://github.com/citation-style-language/schema/raw/master/csl-citation.json"}</w:instrText>
      </w:r>
      <w:r>
        <w:rPr>
          <w:lang w:val="en-US"/>
        </w:rPr>
        <w:fldChar w:fldCharType="separate"/>
      </w:r>
      <w:r>
        <w:rPr>
          <w:noProof/>
          <w:lang w:val="en-US"/>
        </w:rPr>
        <w:t>NRC, 2018</w:t>
      </w:r>
      <w:r>
        <w:rPr>
          <w:lang w:val="en-US"/>
        </w:rPr>
        <w:fldChar w:fldCharType="end"/>
      </w:r>
      <w:r>
        <w:rPr>
          <w:lang w:val="en-US"/>
        </w:rPr>
        <w:t xml:space="preserve">; </w:t>
      </w:r>
      <w:r>
        <w:rPr>
          <w:lang w:val="en-US"/>
        </w:rPr>
        <w:fldChar w:fldCharType="begin" w:fldLock="1"/>
      </w:r>
      <w:r>
        <w:rPr>
          <w:lang w:val="en-US"/>
        </w:rPr>
        <w:instrText>ADDIN CSL_CITATION {"citationItems":[{"id":"ITEM-1","itemData":{"author":[{"dropping-particle":"","family":"Parool","given":"","non-dropping-particle":"","parse-names":false,"suffix":""}],"id":"ITEM-1","issued":{"date-parts":[["2018","3","11"]]},"title":"'Het broeit en bloeit bij Denk Amsterdam en dat is keileuk'","type":"article-newspaper"},"uris":["http://www.mendeley.com/documents/?uuid=31707b71-8531-38d5-9a79-ae9cca908a39"]}],"mendeley":{"formattedCitation":"(Parool, 2018)","manualFormatting":"Parool, 2018","plainTextFormattedCitation":"(Parool, 2018)","previouslyFormattedCitation":"(Parool, 2018)"},"properties":{"noteIndex":0},"schema":"https://github.com/citation-style-language/schema/raw/master/csl-citation.json"}</w:instrText>
      </w:r>
      <w:r>
        <w:rPr>
          <w:lang w:val="en-US"/>
        </w:rPr>
        <w:fldChar w:fldCharType="separate"/>
      </w:r>
      <w:r>
        <w:rPr>
          <w:noProof/>
          <w:lang w:val="en-US"/>
        </w:rPr>
        <w:t>Parool, 2018</w:t>
      </w:r>
      <w:r>
        <w:rPr>
          <w:lang w:val="en-US"/>
        </w:rPr>
        <w:fldChar w:fldCharType="end"/>
      </w:r>
      <w:r>
        <w:rPr>
          <w:lang w:val="en-US"/>
        </w:rPr>
        <w:t xml:space="preserve">; </w:t>
      </w:r>
      <w:r>
        <w:rPr>
          <w:lang w:val="en-US"/>
        </w:rPr>
        <w:fldChar w:fldCharType="begin" w:fldLock="1"/>
      </w:r>
      <w:r>
        <w:rPr>
          <w:lang w:val="en-US"/>
        </w:rPr>
        <w:instrText>ADDIN CSL_CITATION {"citationItems":[{"id":"ITEM-1","itemData":{"author":[{"dropping-particle":"","family":"Telegraaf","given":"","non-dropping-particle":"","parse-names":false,"suffix":""}],"id":"ITEM-1","issued":{"date-parts":[["2016","3","20"]]},"title":"Partij DENK is tegen verplichte integratie","type":"article-newspaper"},"uris":["http://www.mendeley.com/documents/?uuid=74fafa16-48cf-39da-b318-6b4faa0f3343"]}],"mendeley":{"formattedCitation":"(Telegraaf, 2016)","manualFormatting":"Telegraaf, 2016","plainTextFormattedCitation":"(Telegraaf, 2016)","previouslyFormattedCitation":"(Telegraaf, 2016)"},"properties":{"noteIndex":0},"schema":"https://github.com/citation-style-language/schema/raw/master/csl-citation.json"}</w:instrText>
      </w:r>
      <w:r>
        <w:rPr>
          <w:lang w:val="en-US"/>
        </w:rPr>
        <w:fldChar w:fldCharType="separate"/>
      </w:r>
      <w:r>
        <w:rPr>
          <w:noProof/>
          <w:lang w:val="en-US"/>
        </w:rPr>
        <w:t>Telegraaf, 2016</w:t>
      </w:r>
      <w:r>
        <w:rPr>
          <w:lang w:val="en-US"/>
        </w:rPr>
        <w:fldChar w:fldCharType="end"/>
      </w:r>
      <w:r>
        <w:rPr>
          <w:lang w:val="en-US"/>
        </w:rPr>
        <w:t xml:space="preserve">; </w:t>
      </w:r>
      <w:r>
        <w:rPr>
          <w:lang w:val="en-US"/>
        </w:rPr>
        <w:fldChar w:fldCharType="begin" w:fldLock="1"/>
      </w:r>
      <w:r>
        <w:rPr>
          <w:lang w:val="en-US"/>
        </w:rPr>
        <w:instrText>ADDIN CSL_CITATION {"citationItems":[{"id":"ITEM-1","itemData":{"author":[{"dropping-particle":"","family":"Volkskrant","given":"","non-dropping-particle":"","parse-names":false,"suffix":""}],"id":"ITEM-1","issued":{"date-parts":[["2017","3","8"]]},"title":"Hierom stemmen zij DENK","type":"article-newspaper"},"uris":["http://www.mendeley.com/documents/?uuid=621b5429-64fb-3e63-a88c-ae9946317f2d"]}],"mendeley":{"formattedCitation":"(Volkskrant, 2017)","manualFormatting":"Volkskrant, 2017","plainTextFormattedCitation":"(Volkskrant, 2017)","previouslyFormattedCitation":"(Volkskrant, 2017)"},"properties":{"noteIndex":0},"schema":"https://github.com/citation-style-language/schema/raw/master/csl-citation.json"}</w:instrText>
      </w:r>
      <w:r>
        <w:rPr>
          <w:lang w:val="en-US"/>
        </w:rPr>
        <w:fldChar w:fldCharType="separate"/>
      </w:r>
      <w:r>
        <w:rPr>
          <w:noProof/>
          <w:lang w:val="en-US"/>
        </w:rPr>
        <w:t>Volkskrant, 2017</w:t>
      </w:r>
      <w:r>
        <w:rPr>
          <w:lang w:val="en-US"/>
        </w:rPr>
        <w:fldChar w:fldCharType="end"/>
      </w:r>
      <w:r>
        <w:rPr>
          <w:lang w:val="en-US"/>
        </w:rPr>
        <w:t>).</w:t>
      </w:r>
    </w:p>
    <w:p w:rsidR="00D976CD" w:rsidRDefault="00D976CD" w:rsidP="00D976CD">
      <w:pPr>
        <w:spacing w:before="240" w:after="0" w:line="360" w:lineRule="auto"/>
        <w:ind w:firstLine="708"/>
        <w:rPr>
          <w:lang w:val="en-US"/>
        </w:rPr>
      </w:pPr>
      <w:r>
        <w:rPr>
          <w:lang w:val="en-US"/>
        </w:rPr>
        <w:t xml:space="preserve">One could, however, argue, that despite not </w:t>
      </w:r>
      <w:r>
        <w:rPr>
          <w:i/>
          <w:lang w:val="en-US"/>
        </w:rPr>
        <w:t xml:space="preserve">feeling </w:t>
      </w:r>
      <w:r>
        <w:rPr>
          <w:lang w:val="en-US"/>
        </w:rPr>
        <w:t xml:space="preserve">represented, people from a Turkish or a Moroccan background are in fact </w:t>
      </w:r>
      <w:r>
        <w:rPr>
          <w:i/>
          <w:lang w:val="en-US"/>
        </w:rPr>
        <w:t>being</w:t>
      </w:r>
      <w:r>
        <w:rPr>
          <w:lang w:val="en-US"/>
        </w:rPr>
        <w:t xml:space="preserve"> represented in parliament. There is a higher percentage of politicians with a Turkish or a Moroccan background in the Dutch parliament than there are in the population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2017","type":"webpage"},"uris":["http://www.mendeley.com/documents/?uuid=85d2b7b5-985b-3934-8ac3-61789395d23c"]}],"mendeley":{"formattedCitation":"(Kiesraad, 2017)","manualFormatting":"(Kiesraad, 2017","plainTextFormattedCitation":"(Kiesraad, 2017)","previouslyFormattedCitation":"(Kiesraad, 2017)"},"properties":{"noteIndex":0},"schema":"https://github.com/citation-style-language/schema/raw/master/csl-citation.json"}</w:instrText>
      </w:r>
      <w:r>
        <w:rPr>
          <w:lang w:val="en-US"/>
        </w:rPr>
        <w:fldChar w:fldCharType="separate"/>
      </w:r>
      <w:r>
        <w:rPr>
          <w:noProof/>
          <w:lang w:val="en-US"/>
        </w:rPr>
        <w:t>(Kiesraad, 2017</w:t>
      </w:r>
      <w:r>
        <w:rPr>
          <w:lang w:val="en-US"/>
        </w:rPr>
        <w:fldChar w:fldCharType="end"/>
      </w:r>
      <w:r>
        <w:rPr>
          <w:lang w:val="en-US"/>
        </w:rPr>
        <w:t xml:space="preserve">; </w:t>
      </w:r>
      <w:r>
        <w:rPr>
          <w:lang w:val="en-US"/>
        </w:rPr>
        <w:fldChar w:fldCharType="begin" w:fldLock="1"/>
      </w:r>
      <w:r>
        <w:rPr>
          <w:lang w:val="en-US"/>
        </w:rPr>
        <w:instrText>ADDIN CSL_CITATION {"citationItems":[{"id":"ITEM-1","itemData":{"URL":"https://www.cbs.nl/nl-nl/achtergrond/2016/47/bevolking-naar-migratieachtergrond","author":[{"dropping-particle":"","family":"CBS","given":"","non-dropping-particle":"","parse-names":false,"suffix":""}],"id":"ITEM-1","issued":{"date-parts":[["2016"]]},"title":"Bevolking naar migratieachtergrond","type":"webpage"},"uris":["http://www.mendeley.com/documents/?uuid=7f06671f-8a22-37d3-893e-accca5ddda1a"]}],"mendeley":{"formattedCitation":"(CBS, 2016)","manualFormatting":"CBS, 2016)","plainTextFormattedCitation":"(CBS, 2016)","previouslyFormattedCitation":"(CBS, 2016)"},"properties":{"noteIndex":0},"schema":"https://github.com/citation-style-language/schema/raw/master/csl-citation.json"}</w:instrText>
      </w:r>
      <w:r>
        <w:rPr>
          <w:lang w:val="en-US"/>
        </w:rPr>
        <w:fldChar w:fldCharType="separate"/>
      </w:r>
      <w:r>
        <w:rPr>
          <w:noProof/>
          <w:lang w:val="en-US"/>
        </w:rPr>
        <w:t>CBS, 2016)</w:t>
      </w:r>
      <w:r>
        <w:rPr>
          <w:lang w:val="en-US"/>
        </w:rPr>
        <w:fldChar w:fldCharType="end"/>
      </w:r>
      <w:r>
        <w:rPr>
          <w:rStyle w:val="FootnoteReference"/>
          <w:lang w:val="en-US"/>
        </w:rPr>
        <w:footnoteReference w:id="3"/>
      </w:r>
      <w:r>
        <w:rPr>
          <w:lang w:val="en-US"/>
        </w:rPr>
        <w:t xml:space="preserve">. Apparently, representation is not as straightforward as it seems if feelings of not being represented are still so widespread. ‘Who is the ultimate judge … the constituency and not the theorist or other </w:t>
      </w:r>
      <w:proofErr w:type="spellStart"/>
      <w:r>
        <w:rPr>
          <w:lang w:val="en-US"/>
        </w:rPr>
        <w:t>observer’</w:t>
      </w:r>
      <w:proofErr w:type="spellEnd"/>
      <w:r>
        <w:rPr>
          <w:lang w:val="en-US"/>
        </w:rPr>
        <w:t xml:space="preserve"> </w:t>
      </w:r>
      <w:r>
        <w:rPr>
          <w:lang w:val="en-US"/>
        </w:rPr>
        <w:fldChar w:fldCharType="begin" w:fldLock="1"/>
      </w:r>
      <w:r>
        <w:rPr>
          <w:lang w:val="en-US"/>
        </w:rPr>
        <w:instrText>ADDIN CSL_CITATION {"citationItems":[{"id":"ITEM-1","itemData":{"DOI":"10.1093/acprof:oso/9780199579389.001.0001","ISBN":"9780191722950","ISSN":"1470-8914","PMID":"16683413","abstract":"Recent work on the idea of political representation has challenged effectively orthodox accounts of constituency and interests. However, discussions of representation need to focus more on its dynamics prior to further work on its forms. To that end, the idea of the representative claim is advanced and defended. Focusing on the representative claim helps us to: link aesthetic and cultural representation with political representation; grasp the importance of performance to representation; take non-electoral representation seriously; and to underline the contingency and contestability of all forms of representation. The article draws upon a range of sources and ideas to sketch a new, broader and more complex picture of the representative claim which — despite the complexity — helps us to reconnect representation theory to pressing real-world challenges.","author":[{"dropping-particle":"","family":"Saward","given":"Michael","non-dropping-particle":"","parse-names":false,"suffix":""}],"container-title":"The Representative Claim","id":"ITEM-1","issued":{"date-parts":[["2010"]]},"title":"The Representative Claim","type":"book"},"locator":"145","uris":["http://www.mendeley.com/documents/?uuid=ccb9d1ce-0ef3-3b69-84f5-71c1211b1a17"]}],"mendeley":{"formattedCitation":"(Saward, 2010, p. 145)","plainTextFormattedCitation":"(Saward, 2010, p. 145)","previouslyFormattedCitation":"(Saward, 2010, p. 145)"},"properties":{"noteIndex":0},"schema":"https://github.com/citation-style-language/schema/raw/master/csl-citation.json"}</w:instrText>
      </w:r>
      <w:r>
        <w:rPr>
          <w:lang w:val="en-US"/>
        </w:rPr>
        <w:fldChar w:fldCharType="separate"/>
      </w:r>
      <w:r>
        <w:rPr>
          <w:noProof/>
          <w:lang w:val="en-US"/>
        </w:rPr>
        <w:t>(Saward, 2010, p. 145)</w:t>
      </w:r>
      <w:r>
        <w:rPr>
          <w:lang w:val="en-US"/>
        </w:rPr>
        <w:fldChar w:fldCharType="end"/>
      </w:r>
      <w:r>
        <w:rPr>
          <w:lang w:val="en-US"/>
        </w:rPr>
        <w:t xml:space="preserve"> Moreover, it is ‘crucial … [to] address relevant constituencies and audiences and say: "It is up to you to judge”’ </w:t>
      </w:r>
      <w:r>
        <w:rPr>
          <w:lang w:val="en-US"/>
        </w:rPr>
        <w:fldChar w:fldCharType="begin" w:fldLock="1"/>
      </w:r>
      <w:r>
        <w:rPr>
          <w:lang w:val="en-US"/>
        </w:rPr>
        <w:instrText>ADDIN CSL_CITATION {"citationItems":[{"id":"ITEM-1","itemData":{"DOI":"10.1093/acprof:oso/9780199579389.001.0001","ISBN":"9780191722950","ISSN":"1470-8914","PMID":"16683413","abstract":"Recent work on the idea of political representation has challenged effectively orthodox accounts of constituency and interests. However, discussions of representation need to focus more on its dynamics prior to further work on its forms. To that end, the idea of the representative claim is advanced and defended. Focusing on the representative claim helps us to: link aesthetic and cultural representation with political representation; grasp the importance of performance to representation; take non-electoral representation seriously; and to underline the contingency and contestability of all forms of representation. The article draws upon a range of sources and ideas to sketch a new, broader and more complex picture of the representative claim which — despite the complexity — helps us to reconnect representation theory to pressing real-world challenges.","author":[{"dropping-particle":"","family":"Saward","given":"Michael","non-dropping-particle":"","parse-names":false,"suffix":""}],"container-title":"The Representative Claim","id":"ITEM-1","issued":{"date-parts":[["2010"]]},"title":"The Representative Claim","type":"book"},"locator":"146","uris":["http://www.mendeley.com/documents/?uuid=ccb9d1ce-0ef3-3b69-84f5-71c1211b1a17"]}],"mendeley":{"formattedCitation":"(Saward, 2010, p. 146)","plainTextFormattedCitation":"(Saward, 2010, p. 146)","previouslyFormattedCitation":"(Saward, 2010, p. 146)"},"properties":{"noteIndex":0},"schema":"https://github.com/citation-style-language/schema/raw/master/csl-citation.json"}</w:instrText>
      </w:r>
      <w:r>
        <w:rPr>
          <w:lang w:val="en-US"/>
        </w:rPr>
        <w:fldChar w:fldCharType="separate"/>
      </w:r>
      <w:r>
        <w:rPr>
          <w:noProof/>
          <w:lang w:val="en-US"/>
        </w:rPr>
        <w:t>(Saward, 2010, p. 146)</w:t>
      </w:r>
      <w:r>
        <w:rPr>
          <w:lang w:val="en-US"/>
        </w:rPr>
        <w:fldChar w:fldCharType="end"/>
      </w:r>
      <w:r>
        <w:rPr>
          <w:lang w:val="en-US"/>
        </w:rPr>
        <w:t>. If members of the relevant constituencies do not feel represented despite some arguing that they should feel so, there is something going on. This project aims to find out what. If it isn’t representation, is it misrepresentation?</w:t>
      </w:r>
    </w:p>
    <w:p w:rsidR="00585AE0" w:rsidRDefault="00585AE0" w:rsidP="00585AE0">
      <w:pPr>
        <w:spacing w:before="240" w:after="0" w:line="360" w:lineRule="auto"/>
        <w:ind w:firstLine="708"/>
        <w:rPr>
          <w:lang w:val="en-US"/>
        </w:rPr>
      </w:pPr>
      <w:r>
        <w:rPr>
          <w:lang w:val="en-US"/>
        </w:rPr>
        <w:t xml:space="preserve">The three seats they have in parliament are all filled by men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id":"ITEM-2","itemData":{"URL":"https://nos.nl/artikel/2223623-bekijk-hier-alle-uitslagen-van-de-verkiezingen.html","author":[{"dropping-particle":"","family":"NOS","given":"","non-dropping-particle":"","parse-names":false,"suffix":""}],"id":"ITEM-2","issued":{"date-parts":[["2018"]]},"title":"Bekijk hier alle uitslagen van de verkiezingen","type":"webpage"},"uris":["http://www.mendeley.com/documents/?uuid=f040e566-9c99-31ce-98bd-29cd690746e6"]}],"mendeley":{"formattedCitation":"(Kiesraad, 2017; NOS, 2018)","plainTextFormattedCitation":"(Kiesraad, 2017; NOS, 2018)","previouslyFormattedCitation":"(Kiesraad, 2017; NOS, 2018)"},"properties":{"noteIndex":0},"schema":"https://github.com/citation-style-language/schema/raw/master/csl-citation.json"}</w:instrText>
      </w:r>
      <w:r>
        <w:rPr>
          <w:lang w:val="en-US"/>
        </w:rPr>
        <w:fldChar w:fldCharType="separate"/>
      </w:r>
      <w:r>
        <w:rPr>
          <w:noProof/>
          <w:lang w:val="en-US"/>
        </w:rPr>
        <w:t>(Kiesraad, 2017)</w:t>
      </w:r>
      <w:r>
        <w:rPr>
          <w:lang w:val="en-US"/>
        </w:rPr>
        <w:fldChar w:fldCharType="end"/>
      </w:r>
      <w:r>
        <w:rPr>
          <w:lang w:val="en-US"/>
        </w:rPr>
        <w:t xml:space="preserve">. Yet, on the whole, ethnic minority women have been more common in Dutch parliaments than ethnic minority men. Possibly because party elites figure they will tick more minority boxes with just one newcomer </w:t>
      </w:r>
      <w:r>
        <w:rPr>
          <w:lang w:val="en-US"/>
        </w:rPr>
        <w:fldChar w:fldCharType="begin" w:fldLock="1"/>
      </w:r>
      <w:r>
        <w:rPr>
          <w:lang w:val="en-US"/>
        </w:rPr>
        <w:instrText>ADDIN CSL_CITATION {"citationItems":[{"id":"ITEM-1","itemData":{"DOI":"10.1093/pa/gsv043","ISSN":"0031-2290","author":[{"dropping-particle":"","family":"Celis","given":"Karen","non-dropping-particle":"","parse-names":false,"suffix":""},{"dropping-particle":"","family":"Erzeel","given":"Silvia","non-dropping-particle":"","parse-names":false,"suffix":""}],"container-title":"Parliamentary Affairs","id":"ITEM-1","issue":"1","issued":{"date-parts":[["2017","1"]]},"page":"43-61","publisher":"Oxford University Press","title":"The Complementarity Advantage: Parties, Representativeness and Newcomers' Access to Power","type":"article-journal","volume":"70"},"uris":["http://www.mendeley.com/documents/?uuid=93fd56df-4ee5-412c-bb81-5aa265ade87a"]}],"mendeley":{"formattedCitation":"(Celis &amp; Erzeel, 2017)","plainTextFormattedCitation":"(Celis &amp; Erzeel, 2017)","previouslyFormattedCitation":"(Celis &amp; Erzeel, 2017)"},"properties":{"noteIndex":0},"schema":"https://github.com/citation-style-language/schema/raw/master/csl-citation.json"}</w:instrText>
      </w:r>
      <w:r>
        <w:rPr>
          <w:lang w:val="en-US"/>
        </w:rPr>
        <w:fldChar w:fldCharType="separate"/>
      </w:r>
      <w:r>
        <w:rPr>
          <w:noProof/>
          <w:lang w:val="en-US"/>
        </w:rPr>
        <w:t>(Celis &amp; Erzeel, 2017)</w:t>
      </w:r>
      <w:r>
        <w:rPr>
          <w:lang w:val="en-US"/>
        </w:rPr>
        <w:fldChar w:fldCharType="end"/>
      </w:r>
      <w:r>
        <w:rPr>
          <w:lang w:val="en-US"/>
        </w:rPr>
        <w:t xml:space="preserve"> and in some cases ethnic minority women are seen as more successful models of integration </w:t>
      </w:r>
      <w:r>
        <w:rPr>
          <w:lang w:val="en-US"/>
        </w:rPr>
        <w:fldChar w:fldCharType="begin" w:fldLock="1"/>
      </w:r>
      <w:r>
        <w:rPr>
          <w:lang w:val="en-US"/>
        </w:rPr>
        <w:instrText>ADDIN CSL_CITATION {"citationItems":[{"id":"ITEM-1","itemData":{"DOI":"10.1093/pa/gsv059","ISSN":"0031-2290, 1460-2482","abstract":"This special issue revisits traditional group-based approaches to political representation by examining how multiple advantages and disadvantages interact and multiply in specific settings. The contributions examine how intersections of age, religion, gender, sexuality, ability, nationality, generation and ethnicity influence entrance to elected office and the power elected officials eventually wield. We propose a new intersectional framework for studying the mechanisms that lead to inclusion (advantage) and exclusion (disadvantage) in political representation, and find that (1) similar mechanisms produce different outcomes for different (sub)groups in society, and (2) the effect of identity mixes is contextual and differs across dimensions of representation.","author":[{"dropping-particle":"","family":"Mügge","given":"Liza M","non-dropping-particle":"","parse-names":false,"suffix":""},{"dropping-particle":"","family":"Erzeel","given":"Silvia","non-dropping-particle":"","parse-names":false,"suffix":""}],"container-title":"Parliamentary Affairs","id":"ITEM-1","issue":"3","issued":{"date-parts":[["2016","7"]]},"page":"499-511","publisher":"Oxford University Press","title":"Double Jeopardy or Multiple Advantage? Intersectionality and Political Representation","type":"article-journal","volume":"69"},"uris":["http://www.mendeley.com/documents/?uuid=4a23579a-e51f-4594-a1f9-3bfc6497bba5"]}],"mendeley":{"formattedCitation":"(L. M. Mügge &amp; Erzeel, 2016)","manualFormatting":"(Mügge &amp; Erzeel, 2016)","plainTextFormattedCitation":"(L. M. Mügge &amp; Erzeel, 2016)","previouslyFormattedCitation":"(L. M. Mügge &amp; Erzeel, 2016)"},"properties":{"noteIndex":0},"schema":"https://github.com/citation-style-language/schema/raw/master/csl-citation.json"}</w:instrText>
      </w:r>
      <w:r>
        <w:rPr>
          <w:lang w:val="en-US"/>
        </w:rPr>
        <w:fldChar w:fldCharType="separate"/>
      </w:r>
      <w:r>
        <w:rPr>
          <w:noProof/>
          <w:lang w:val="en-US"/>
        </w:rPr>
        <w:t>(Mügge &amp; Erzeel, 2016)</w:t>
      </w:r>
      <w:r>
        <w:rPr>
          <w:lang w:val="en-US"/>
        </w:rPr>
        <w:fldChar w:fldCharType="end"/>
      </w:r>
      <w:r>
        <w:rPr>
          <w:lang w:val="en-US"/>
        </w:rPr>
        <w:t xml:space="preserve">. On the other hand, DENK has appointed more male ethnic minority representatives than female ones in both the national and the municipal elections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id":"ITEM-2","itemData":{"URL":"https://nos.nl/artikel/2223623-bekijk-hier-alle-uitslagen-van-de-verkiezingen.html","author":[{"dropping-particle":"","family":"NOS","given":"","non-dropping-particle":"","parse-names":false,"suffix":""}],"id":"ITEM-2","issued":{"date-parts":[["2018"]]},"title":"Bekijk hier alle uitslagen van de verkiezingen","type":"webpage"},"uris":["http://www.mendeley.com/documents/?uuid=f040e566-9c99-31ce-98bd-29cd690746e6"]}],"mendeley":{"formattedCitation":"(Kiesraad, 2017; NOS, 2018)","plainTextFormattedCitation":"(Kiesraad, 2017; NOS, 2018)","previouslyFormattedCitation":"(Kiesraad, 2017; NOS, 2018)"},"properties":{"noteIndex":0},"schema":"https://github.com/citation-style-language/schema/raw/master/csl-citation.json"}</w:instrText>
      </w:r>
      <w:r>
        <w:rPr>
          <w:lang w:val="en-US"/>
        </w:rPr>
        <w:fldChar w:fldCharType="separate"/>
      </w:r>
      <w:r>
        <w:rPr>
          <w:noProof/>
          <w:lang w:val="en-US"/>
        </w:rPr>
        <w:t>(Kiesraad, 2017; NOS, 2018)</w:t>
      </w:r>
      <w:r>
        <w:rPr>
          <w:lang w:val="en-US"/>
        </w:rPr>
        <w:fldChar w:fldCharType="end"/>
      </w:r>
      <w:r>
        <w:rPr>
          <w:lang w:val="en-US"/>
        </w:rPr>
        <w:t xml:space="preserve">. The way gender intersects with ethnicity also needs to be part of the equation. </w:t>
      </w:r>
    </w:p>
    <w:p w:rsidR="00D976CD" w:rsidRDefault="00D976CD" w:rsidP="00D976CD">
      <w:pPr>
        <w:spacing w:before="240" w:after="0" w:line="360" w:lineRule="auto"/>
        <w:ind w:firstLine="708"/>
        <w:rPr>
          <w:lang w:val="en-US"/>
        </w:rPr>
      </w:pPr>
      <w:r>
        <w:rPr>
          <w:lang w:val="en-US"/>
        </w:rPr>
        <w:lastRenderedPageBreak/>
        <w:t xml:space="preserve">This notion of misrepresentation is not a Dutch peculiarity. Ethnic minority European citizens outside of the Netherlands have voiced the need for a party like DENK in their countries as well </w:t>
      </w:r>
      <w:r>
        <w:rPr>
          <w:lang w:val="en-US"/>
        </w:rPr>
        <w:fldChar w:fldCharType="begin" w:fldLock="1"/>
      </w:r>
      <w:r>
        <w:rPr>
          <w:lang w:val="en-US"/>
        </w:rPr>
        <w:instrText>ADDIN CSL_CITATION {"citationItems":[{"id":"ITEM-1","itemData":{"author":[{"dropping-particle":"","family":"Akachar","given":"Soumia","non-dropping-particle":"","parse-names":false,"suffix":""}],"id":"ITEM-1","issued":{"date-parts":[["2018"]]},"publisher":"Faculteit Economische en Sociale Wetenschappen en Solvay Business School","title":"Representation in the eye of the beholder, Flemish Muslim youth on (not) feeling politically represented","type":"thesis"},"locator":"191","uris":["http://www.mendeley.com/documents/?uuid=51e9be0a-4ec0-3643-9fb9-32475f86a658"]}],"mendeley":{"formattedCitation":"(Akachar, 2018, p. 191)","plainTextFormattedCitation":"(Akachar, 2018, p. 191)","previouslyFormattedCitation":"(Akachar, 2018, p. 191)"},"properties":{"noteIndex":0},"schema":"https://github.com/citation-style-language/schema/raw/master/csl-citation.json"}</w:instrText>
      </w:r>
      <w:r>
        <w:rPr>
          <w:lang w:val="en-US"/>
        </w:rPr>
        <w:fldChar w:fldCharType="separate"/>
      </w:r>
      <w:r>
        <w:rPr>
          <w:noProof/>
          <w:lang w:val="en-US"/>
        </w:rPr>
        <w:t>(Akachar, 2018, p. 191)</w:t>
      </w:r>
      <w:r>
        <w:rPr>
          <w:lang w:val="en-US"/>
        </w:rPr>
        <w:fldChar w:fldCharType="end"/>
      </w:r>
      <w:r>
        <w:rPr>
          <w:lang w:val="en-US"/>
        </w:rPr>
        <w:t xml:space="preserve"> and wonder ‘[w]</w:t>
      </w:r>
      <w:proofErr w:type="spellStart"/>
      <w:r>
        <w:rPr>
          <w:lang w:val="en-US"/>
        </w:rPr>
        <w:t>hat</w:t>
      </w:r>
      <w:proofErr w:type="spellEnd"/>
      <w:r>
        <w:rPr>
          <w:lang w:val="en-US"/>
        </w:rPr>
        <w:t xml:space="preserve"> good does it do that there are people like us in parliament if they fail to represent us?’ </w:t>
      </w:r>
      <w:r>
        <w:rPr>
          <w:lang w:val="en-US"/>
        </w:rPr>
        <w:fldChar w:fldCharType="begin" w:fldLock="1"/>
      </w:r>
      <w:r>
        <w:rPr>
          <w:lang w:val="en-US"/>
        </w:rPr>
        <w:instrText>ADDIN CSL_CITATION {"citationItems":[{"id":"ITEM-1","itemData":{"author":[{"dropping-particle":"","family":"Akachar","given":"Soumia","non-dropping-particle":"","parse-names":false,"suffix":""}],"id":"ITEM-1","issued":{"date-parts":[["2018"]]},"publisher":"Faculteit Economische en Sociale Wetenschappen en Solvay Business School","title":"Representation in the eye of the beholder, Flemish Muslim youth on (not) feeling politically represented","type":"thesis"},"locator":"202","uris":["http://www.mendeley.com/documents/?uuid=51e9be0a-4ec0-3643-9fb9-32475f86a658"]}],"mendeley":{"formattedCitation":"(Akachar, 2018, p. 202)","plainTextFormattedCitation":"(Akachar, 2018, p. 202)","previouslyFormattedCitation":"(Akachar, 2018, p. 202)"},"properties":{"noteIndex":0},"schema":"https://github.com/citation-style-language/schema/raw/master/csl-citation.json"}</w:instrText>
      </w:r>
      <w:r>
        <w:rPr>
          <w:lang w:val="en-US"/>
        </w:rPr>
        <w:fldChar w:fldCharType="separate"/>
      </w:r>
      <w:r>
        <w:rPr>
          <w:noProof/>
          <w:lang w:val="en-US"/>
        </w:rPr>
        <w:t>(Akachar, 2018, p. 202)</w:t>
      </w:r>
      <w:r>
        <w:rPr>
          <w:lang w:val="en-US"/>
        </w:rPr>
        <w:fldChar w:fldCharType="end"/>
      </w:r>
      <w:r>
        <w:rPr>
          <w:lang w:val="en-US"/>
        </w:rPr>
        <w:t xml:space="preserve">. Moreover, 75% of ethnic minorities across Europe agree ‘we need more immigrant members of parliament’, 87,4% agreeing that they would be ‘better </w:t>
      </w:r>
      <w:proofErr w:type="spellStart"/>
      <w:r>
        <w:rPr>
          <w:lang w:val="en-US"/>
        </w:rPr>
        <w:t>underst</w:t>
      </w:r>
      <w:proofErr w:type="spellEnd"/>
      <w:r>
        <w:rPr>
          <w:lang w:val="en-US"/>
        </w:rPr>
        <w:t>[</w:t>
      </w:r>
      <w:proofErr w:type="spellStart"/>
      <w:r>
        <w:rPr>
          <w:lang w:val="en-US"/>
        </w:rPr>
        <w:t>ood</w:t>
      </w:r>
      <w:proofErr w:type="spellEnd"/>
      <w:r>
        <w:rPr>
          <w:lang w:val="en-US"/>
        </w:rPr>
        <w:t xml:space="preserve">]’ and 83,5% agreeing they would be ‘better represented’ if there were more MPs with their immigrant background </w:t>
      </w:r>
      <w:r>
        <w:rPr>
          <w:lang w:val="en-US"/>
        </w:rPr>
        <w:fldChar w:fldCharType="begin" w:fldLock="1"/>
      </w:r>
      <w:r>
        <w:rPr>
          <w:lang w:val="en-US"/>
        </w:rPr>
        <w:instrText>ADDIN CSL_CITATION {"citationItems":[{"id":"ITEM-1","itemData":{"ISBN":"9789051307795","author":[{"dropping-particle":"","family":"Huddleston","given":"Thomas","non-dropping-particle":"","parse-names":false,"suffix":""},{"dropping-particle":"","family":"Tjaden","given":"Jasper Dag","non-dropping-particle":"","parse-names":false,"suffix":""}],"id":"ITEM-1","issued":{"date-parts":[["2012"]]},"title":"Immigrant Citizens Survey: How Immigrants Experience Integration in 15 European Cities","type":"book"},"uris":["http://www.mendeley.com/documents/?uuid=8e33ea21-f6e6-45e8-aee6-30ce9730b1d8","http://www.mendeley.com/documents/?uuid=d5e2939c-f0b1-4df0-b3cd-59f2ec6fd1d3"]}],"mendeley":{"formattedCitation":"(Thomas Huddleston &amp; Tjaden, 2012)","plainTextFormattedCitation":"(Thomas Huddleston &amp; Tjaden, 2012)","previouslyFormattedCitation":"(Thomas Huddleston &amp; Tjaden, 2012)"},"properties":{"noteIndex":0},"schema":"https://github.com/citation-style-language/schema/raw/master/csl-citation.json"}</w:instrText>
      </w:r>
      <w:r>
        <w:rPr>
          <w:lang w:val="en-US"/>
        </w:rPr>
        <w:fldChar w:fldCharType="separate"/>
      </w:r>
      <w:r>
        <w:rPr>
          <w:noProof/>
          <w:lang w:val="en-US"/>
        </w:rPr>
        <w:t>(Huddleston &amp; Tjaden, 2012)</w:t>
      </w:r>
      <w:r>
        <w:rPr>
          <w:lang w:val="en-US"/>
        </w:rPr>
        <w:fldChar w:fldCharType="end"/>
      </w:r>
      <w:r>
        <w:rPr>
          <w:lang w:val="en-US"/>
        </w:rPr>
        <w:t xml:space="preserve">. This problem is, thus, much wider than the Dutch context. </w:t>
      </w:r>
    </w:p>
    <w:p w:rsidR="00D976CD" w:rsidRDefault="00D976CD" w:rsidP="00D976CD">
      <w:pPr>
        <w:spacing w:before="240" w:after="0" w:line="360" w:lineRule="auto"/>
        <w:ind w:firstLine="708"/>
        <w:rPr>
          <w:noProof/>
          <w:lang w:val="en-US"/>
        </w:rPr>
      </w:pPr>
      <w:r>
        <w:rPr>
          <w:lang w:val="en-US"/>
        </w:rPr>
        <w:t xml:space="preserve">Do </w:t>
      </w:r>
      <w:r w:rsidR="00585AE0">
        <w:rPr>
          <w:lang w:val="en-US"/>
        </w:rPr>
        <w:t xml:space="preserve">ethnic minority </w:t>
      </w:r>
      <w:r>
        <w:rPr>
          <w:lang w:val="en-US"/>
        </w:rPr>
        <w:t>citizens who have more in common with politicians evaluate these politicians more positively?</w:t>
      </w:r>
      <w:r w:rsidR="00585AE0">
        <w:rPr>
          <w:lang w:val="en-US"/>
        </w:rPr>
        <w:t xml:space="preserve"> Or are ethnic minority citizens more prone to evaluate outsiders more positively?</w:t>
      </w:r>
      <w:r>
        <w:rPr>
          <w:lang w:val="en-US"/>
        </w:rPr>
        <w:t xml:space="preserve"> I am going to study more closely how citizens evaluate politicians who do (or do not) look like them in terms of gender and ethnicity. Because, in the end, the way people evaluate the politicians who are claimed to represent them is firmly anchored in the inner workings of our representative democracy </w:t>
      </w:r>
      <w:r>
        <w:rPr>
          <w:lang w:val="en-US"/>
        </w:rPr>
        <w:fldChar w:fldCharType="begin" w:fldLock="1"/>
      </w:r>
      <w:r>
        <w:rPr>
          <w:lang w:val="en-US"/>
        </w:rPr>
        <w:instrText>ADDIN CSL_CITATION {"citationItems":[{"id":"ITEM-1","itemData":{"author":[{"dropping-particle":"","family":"Dahl","given":"R.","non-dropping-particle":"","parse-names":false,"suffix":""}],"id":"ITEM-1","issued":{"date-parts":[["2000"]]},"number-of-pages":"192-195","publisher":"Yale University Press","publisher-place":"New Haven, CT","title":"On Democracy","type":"book"},"locator":"192-195","uris":["http://www.mendeley.com/documents/?uuid=f7d15e4d-b3e0-4ce8-81d1-a9cfdd0903cc","http://www.mendeley.com/documents/?uuid=ed8b9be2-0b36-47a0-8aa5-711bdf2031c6"]}],"mendeley":{"formattedCitation":"(Dahl, 2000, pp. 192–195)","plainTextFormattedCitation":"(Dahl, 2000, pp. 192–195)","previouslyFormattedCitation":"(Dahl, 2000, pp. 192–195)"},"properties":{"noteIndex":0},"schema":"https://github.com/citation-style-language/schema/raw/master/csl-citation.json"}</w:instrText>
      </w:r>
      <w:r>
        <w:rPr>
          <w:lang w:val="en-US"/>
        </w:rPr>
        <w:fldChar w:fldCharType="separate"/>
      </w:r>
      <w:r>
        <w:rPr>
          <w:noProof/>
          <w:lang w:val="en-US"/>
        </w:rPr>
        <w:t>(Dahl, 2000, pp. 192–195)</w:t>
      </w:r>
      <w:r>
        <w:rPr>
          <w:lang w:val="en-US"/>
        </w:rPr>
        <w:fldChar w:fldCharType="end"/>
      </w:r>
      <w:r>
        <w:rPr>
          <w:lang w:val="en-US"/>
        </w:rPr>
        <w:t xml:space="preserve">. Such evaluations, in turn, influence legitimacy </w:t>
      </w:r>
      <w:r>
        <w:rPr>
          <w:lang w:val="en-US"/>
        </w:rPr>
        <w:fldChar w:fldCharType="begin" w:fldLock="1"/>
      </w:r>
      <w:r>
        <w:rPr>
          <w:lang w:val="en-US"/>
        </w:rPr>
        <w:instrText>ADDIN CSL_CITATION {"citationItems":[{"id":"ITEM-1","itemData":{"DOI":"10.1177/106591290605900407","ISSN":"10659129","abstract":"Elections are sometimes seen as legitimizing institutions, promoting system-level support among citizens by allowing them to have input into the political process. However, prior research has found that this is less true among supporters of losing candidates, who often exhibit lower levels of political trust and satisfaction with democracy. We analyze NES survey data from 1964 to 2004, as well as surveys from Florida and the nation following the controversial presidential election of 2000, and find that (1) losers exhibit lower levels of polit- ical trust, satisfaction with democracy, confidence that government is responsive to citizens, and in early 2001 were less inclined to extend legitimacy to the newly elected president; (2) losers also are more likely to endorse “rationalizations” as explanations of the election outcome, to be less satisfied with the choice of candidates offered in the election, and to perceive the electoral process as unfair; and (3) voter interpretations of the elec- tion mediate the relationships between winning/losing on the one hand, and trust, responsiveness, and satis- faction with democracy on the other. These findings suggest that the so-called legitimizing function of elec- tions is far from a universal phenomenon.","author":[{"dropping-particle":"","family":"Craig","given":"Stephen C.","non-dropping-particle":"","parse-names":false,"suffix":""},{"dropping-particle":"","family":"Martinez","given":"Michael D.","non-dropping-particle":"","parse-names":false,"suffix":""},{"dropping-particle":"","family":"Gainous","given":"Jason","non-dropping-particle":"","parse-names":false,"suffix":""},{"dropping-particle":"","family":"Kane","given":"James G.","non-dropping-particle":"","parse-names":false,"suffix":""}],"container-title":"Political Research Quarterly","id":"ITEM-1","issued":{"date-parts":[["2006"]]},"title":"Winners, losers, and election context: Voter responses to the 2000 presidential election","type":"article-journal"},"uris":["http://www.mendeley.com/documents/?uuid=7947915d-b978-4e6b-8d4b-d7612f3f0e35","http://www.mendeley.com/documents/?uuid=b8ce7fc4-d443-47fa-9ecd-e0a56aa8b2ba"]},{"id":"ITEM-2","itemData":{"DOI":"10.1111/j.1468-2508.2005.00323.x","author":[{"dropping-particle":"","family":"Schwindt-Bayer","given":"Leslie A","non-dropping-particle":"","parse-names":false,"suffix":""},{"dropping-particle":"","family":"Mishler","given":"William","non-dropping-particle":"","parse-names":false,"suffix":""}],"container-title":"Source: The Journal of Politics","id":"ITEM-2","issue":"2","issued":{"date-parts":[["2005"]]},"page":"407–428","title":"An Integrated Model of Women's Representation","type":"article-journal","volume":"67"},"uris":["http://www.mendeley.com/documents/?uuid=ddfe523c-1d08-41a3-b893-7d45218611d6","http://www.mendeley.com/documents/?uuid=0d89450d-c369-46f7-8cbb-e3a678d4b712"]}],"mendeley":{"formattedCitation":"(Craig, Martinez, Gainous, &amp; Kane, 2006; Schwindt-Bayer &amp; Mishler, 2005)","plainTextFormattedCitation":"(Craig, Martinez, Gainous, &amp; Kane, 2006; Schwindt-Bayer &amp; Mishler, 2005)","previouslyFormattedCitation":"(Craig, Martinez, Gainous, &amp; Kane, 2006; Schwindt-Bayer &amp; Mishler, 2005)"},"properties":{"noteIndex":0},"schema":"https://github.com/citation-style-language/schema/raw/master/csl-citation.json"}</w:instrText>
      </w:r>
      <w:r>
        <w:rPr>
          <w:lang w:val="en-US"/>
        </w:rPr>
        <w:fldChar w:fldCharType="separate"/>
      </w:r>
      <w:r>
        <w:rPr>
          <w:noProof/>
          <w:lang w:val="en-US"/>
        </w:rPr>
        <w:t>(Craig, Martinez, Gainous, &amp; Kane, 2006; Schwindt-Bayer &amp; Mishler, 2005)</w:t>
      </w:r>
      <w:r>
        <w:rPr>
          <w:lang w:val="en-US"/>
        </w:rPr>
        <w:fldChar w:fldCharType="end"/>
      </w:r>
      <w:r>
        <w:rPr>
          <w:lang w:val="en-US"/>
        </w:rPr>
        <w:t xml:space="preserve">, democratic trust </w:t>
      </w:r>
      <w:r>
        <w:rPr>
          <w:lang w:val="en-US"/>
        </w:rPr>
        <w:fldChar w:fldCharType="begin" w:fldLock="1"/>
      </w:r>
      <w:r>
        <w:rPr>
          <w:lang w:val="en-US"/>
        </w:rPr>
        <w:instrText>ADDIN CSL_CITATION {"citationItems":[{"id":"ITEM-1","itemData":{"DOI":"10.1017/S0022381612000412","ISBN":"1468-2508","ISSN":"00223816","PMID":"25246403","abstract":"This article examines how the effect of education on institutional trust varies cross-nationally as a function of the pervasiveness of public-sector corruption. We approach institutional trust as a performance-based evaluation of political institutions. Given their greater capacity to accurately assess the level of corruption coupled with their stronger commitment to democratic values, we hypothesize that higher-educated citizens should react differently to corruption from those with less education. Employing multilevel models we find that education has both a conditional and a conditioning effect on institutional trust. First, education is negatively related to institutional trust in corrupt societies and positively related to institutional trust in clean societies. Second, the corrosive effect of corruption on institutional trust worsens as education improves. The article ends with a discussion of the implications of these findings for the functioning of contemporary democracies.","author":[{"dropping-particle":"","family":"Hakhverdian","given":"Armen","non-dropping-particle":"","parse-names":false,"suffix":""},{"dropping-particle":"","family":"Mayne","given":"Quinton","non-dropping-particle":"","parse-names":false,"suffix":""}],"container-title":"Journal of Politics","id":"ITEM-1","issued":{"date-parts":[["2012"]]},"title":"Institutional trust, education, and corruption: A micro-macro interactive approach","type":"article-journal"},"uris":["http://www.mendeley.com/documents/?uuid=e03fc435-fc0c-4998-b641-5abbbd7785d6","http://www.mendeley.com/documents/?uuid=3f6a374a-a755-4183-b1a7-78dc4e64b9ea"]},{"id":"ITEM-2","itemData":{"DOI":"10.1177/0010414001034001002","ISBN":"0010414015523829","ISSN":"0010-4140","PMID":"487","abstract":"Popular trust in political institutions is vital to democracy, but in post-Communist countries, popular distrust for institutions is widespread, and prospects for generating increased political trust are uncertain given disagreements over its origins. Cultural theories emphasizing exogenous determinants of trust compete with institutional theories emphasizing endogenous influences, and both can be further differentiated into micro and macro variants. Competing hypotheses drawn from these theories are tested using data from 10 post-Communist countries in Eastern and Central Europe and the former Soviet Union. Aggregate data on economic and political performance are combined with survey data on interpersonal and political trust, political socialization experiences, and individual evaluations of national performance. Results strongly support the superiority of institutional explanations of the origins of political trust, especially micro-level explanations, while providing little support for either micro-cul...","author":[{"dropping-particle":"","family":"Mishler","given":"William","non-dropping-particle":"","parse-names":false,"suffix":""},{"dropping-particle":"","family":"Rose","given":"Richard","non-dropping-particle":"","parse-names":false,"suffix":""}],"container-title":"Comparative Political Studies","id":"ITEM-2","issued":{"date-parts":[["2001"]]},"title":"What Are the Origins of Political Trust?","type":"article-journal"},"uris":["http://www.mendeley.com/documents/?uuid=8649f6d6-2694-4f36-96ee-3906a60fd0ef","http://www.mendeley.com/documents/?uuid=2439ec62-77c9-41ed-9093-8277031310e1"]}],"mendeley":{"formattedCitation":"(Hakhverdian &amp; Mayne, 2012; Mishler &amp; Rose, 2001)","manualFormatting":"(Hakhverdian &amp; Mayne, 2012; Mishler &amp; Rose, 2001)","plainTextFormattedCitation":"(Hakhverdian &amp; Mayne, 2012; Mishler &amp; Rose, 2001)","previouslyFormattedCitation":"(Hakhverdian &amp; Mayne, 2012; Mishler &amp; Rose, 2001)"},"properties":{"noteIndex":0},"schema":"https://github.com/citation-style-language/schema/raw/master/csl-citation.json"}</w:instrText>
      </w:r>
      <w:r>
        <w:rPr>
          <w:lang w:val="en-US"/>
        </w:rPr>
        <w:fldChar w:fldCharType="separate"/>
      </w:r>
      <w:r>
        <w:rPr>
          <w:noProof/>
          <w:lang w:val="en-US"/>
        </w:rPr>
        <w:t>(Hakhverdian &amp; Mayne, 2012; Mishler &amp; Rose, 2001)</w:t>
      </w:r>
      <w:r>
        <w:rPr>
          <w:lang w:val="en-US"/>
        </w:rPr>
        <w:fldChar w:fldCharType="end"/>
      </w:r>
      <w:r>
        <w:rPr>
          <w:lang w:val="en-US"/>
        </w:rPr>
        <w:t xml:space="preserve"> and external efficacy and perceived responsiveness </w:t>
      </w:r>
      <w:r>
        <w:rPr>
          <w:lang w:val="en-US"/>
        </w:rPr>
        <w:fldChar w:fldCharType="begin" w:fldLock="1"/>
      </w:r>
      <w:r>
        <w:rPr>
          <w:lang w:val="en-US"/>
        </w:rPr>
        <w:instrText>ADDIN CSL_CITATION {"citationItems":[{"id":"ITEM-1","itemData":{"DOI":"10.1093/ijpor/edv003","ISSN":"14716909","abstract":"The paper focuses beliefs about how responsive politicians are to citizens’ wishes and demands. Traditionally, empirical studies on perceived responsiveness are closely associated with studies on external efficacy. We argue that perceived responsiveness and external efficacy should be analytically separated, and we suggests a way to achieve this empirically. We depart from the assumption that “responsiveness” is a set of distinct actions from distinct actors such as incumbent governments. We develop an instrumentation that reflect this understanding of perceived responsiveness, and we put the suggested measurement through psychometric tests in two national contexts (the Netherlands and Sweden). Unsurprisingly, perceived responsiveness and external efficacy overlap empirically, but we find consistent support for that the new instrument can improve upon current measurement practices.","author":[{"dropping-particle":"","family":"Esaiasson","given":"Peter","non-dropping-particle":"","parse-names":false,"suffix":""},{"dropping-particle":"","family":"Kölln","given":"Ann Kristin","non-dropping-particle":"","parse-names":false,"suffix":""},{"dropping-particle":"","family":"Turper","given":"Sedef","non-dropping-particle":"","parse-names":false,"suffix":""}],"container-title":"International Journal of Public Opinion Research","id":"ITEM-1","issued":{"date-parts":[["2015"]]},"title":"External Efficacy and Perceived Responsiveness - Similar but Distinct Concepts","type":"article-journal"},"uris":["http://www.mendeley.com/documents/?uuid=8fc692dc-b240-4e87-9c18-9d62637373d9","http://www.mendeley.com/documents/?uuid=f28e941d-e03f-459f-a8fa-d0f276862b86"]}],"mendeley":{"formattedCitation":"(Esaiasson, Kölln, &amp; Turper, 2015)","plainTextFormattedCitation":"(Esaiasson, Kölln, &amp; Turper, 2015)","previouslyFormattedCitation":"(Esaiasson, Kölln, &amp; Turper, 2015)"},"properties":{"noteIndex":0},"schema":"https://github.com/citation-style-language/schema/raw/master/csl-citation.json"}</w:instrText>
      </w:r>
      <w:r>
        <w:rPr>
          <w:lang w:val="en-US"/>
        </w:rPr>
        <w:fldChar w:fldCharType="separate"/>
      </w:r>
      <w:r>
        <w:rPr>
          <w:noProof/>
          <w:lang w:val="en-US"/>
        </w:rPr>
        <w:t>(Esaiasson, Kölln, &amp; Turper, 2015)</w:t>
      </w:r>
      <w:r>
        <w:rPr>
          <w:lang w:val="en-US"/>
        </w:rPr>
        <w:fldChar w:fldCharType="end"/>
      </w:r>
      <w:r>
        <w:rPr>
          <w:lang w:val="en-US"/>
        </w:rPr>
        <w:t xml:space="preserve">. Since the evaluations of politicians by citizens matter so much to our democracy, we need to get straight to what extent these are shaped by the intersections of gender and ethnicity. </w:t>
      </w:r>
    </w:p>
    <w:p w:rsidR="00D976CD" w:rsidRDefault="00D976CD" w:rsidP="00D976CD">
      <w:pPr>
        <w:spacing w:before="240" w:after="0" w:line="360" w:lineRule="auto"/>
        <w:ind w:firstLine="708"/>
        <w:rPr>
          <w:lang w:val="en-US"/>
        </w:rPr>
      </w:pPr>
      <w:r>
        <w:rPr>
          <w:lang w:val="en-US"/>
        </w:rPr>
        <w:t xml:space="preserve">I will not only study the extent to which citizen/politician-similarities matter, but I will treat the concept of identity with renewed sensitivity and </w:t>
      </w:r>
      <w:proofErr w:type="spellStart"/>
      <w:r>
        <w:rPr>
          <w:lang w:val="en-US"/>
        </w:rPr>
        <w:t>rigour</w:t>
      </w:r>
      <w:proofErr w:type="spellEnd"/>
      <w:r>
        <w:rPr>
          <w:lang w:val="en-US"/>
        </w:rPr>
        <w:t xml:space="preserve"> using quantitative methods. Because, ‘[</w:t>
      </w:r>
      <w:proofErr w:type="spellStart"/>
      <w:r>
        <w:rPr>
          <w:lang w:val="en-US"/>
        </w:rPr>
        <w:t>i</w:t>
      </w:r>
      <w:proofErr w:type="spellEnd"/>
      <w:r>
        <w:rPr>
          <w:lang w:val="en-US"/>
        </w:rPr>
        <w:t xml:space="preserve">]n the end, numbers are indispensable for any political actor to address inequality’ </w:t>
      </w:r>
      <w:r>
        <w:rPr>
          <w:lang w:val="en-US"/>
        </w:rPr>
        <w:fldChar w:fldCharType="begin" w:fldLock="1"/>
      </w:r>
      <w:r>
        <w:rPr>
          <w:lang w:val="en-US"/>
        </w:rPr>
        <w:instrText>ADDIN CSL_CITATION {"citationItems":[{"id":"ITEM-1","itemData":{"DOI":"10.1177/0263395716684527","ISBN":"0263395716684","abstract":"Presence, of bodies and ideas, is often taken as the primary indicator of political equality and, hence, democratic health. Intersectionality and constructivism question the validity of measuring presence. Turning theory into practice, we propose a comparative reflexive design guided by two research questions: (1) Who are the groups? and (2) What are their problems? This reveals both prototypical and non-prototypical groups and interests, from the perspectives of politicians (from above) and citizens (from below). We suggest concrete qualitative and quantitative methodological strategies to study these questions empirically.","author":[{"dropping-particle":"","family":"Celis","given":"Karen","non-dropping-particle":"","parse-names":false,"suffix":""},{"dropping-particle":"","family":"Mügge","given":"Liza M.","non-dropping-particle":"","parse-names":false,"suffix":""}],"container-title":"Politics","id":"ITEM-1","issue":"2","issued":{"date-parts":[["2018"]]},"page":"197–213","title":"Whose equality? Measuring group representation","type":"article-journal","volume":"38"},"locator":"210","uris":["http://www.mendeley.com/documents/?uuid=a0512e67-76ea-476e-801c-8a1a22c10cd9","http://www.mendeley.com/documents/?uuid=87d91893-040b-41c0-a15b-9ed4e82bcda3"]}],"mendeley":{"formattedCitation":"(Celis &amp; Mügge, 2018, p. 210)","plainTextFormattedCitation":"(Celis &amp; Mügge, 2018, p. 210)","previouslyFormattedCitation":"(Celis &amp; Mügge, 2018, p. 210)"},"properties":{"noteIndex":0},"schema":"https://github.com/citation-style-language/schema/raw/master/csl-citation.json"}</w:instrText>
      </w:r>
      <w:r>
        <w:rPr>
          <w:lang w:val="en-US"/>
        </w:rPr>
        <w:fldChar w:fldCharType="separate"/>
      </w:r>
      <w:r>
        <w:rPr>
          <w:noProof/>
          <w:lang w:val="en-US"/>
        </w:rPr>
        <w:t>(Celis &amp; Mügge, 2018, p. 210)</w:t>
      </w:r>
      <w:r>
        <w:rPr>
          <w:lang w:val="en-US"/>
        </w:rPr>
        <w:fldChar w:fldCharType="end"/>
      </w:r>
      <w:r>
        <w:rPr>
          <w:lang w:val="en-US"/>
        </w:rPr>
        <w:t>. I will do this with original survey experiments</w:t>
      </w:r>
      <w:r>
        <w:rPr>
          <w:rStyle w:val="FootnoteReference"/>
          <w:lang w:val="en-US"/>
        </w:rPr>
        <w:footnoteReference w:id="4"/>
      </w:r>
      <w:r>
        <w:rPr>
          <w:lang w:val="en-US"/>
        </w:rPr>
        <w:t xml:space="preserve"> across three countries: the Netherlands, Germany and France. In each country, I will oversample specific groups of ethnic minority citizens in order to have the statistical power to study the differences not only between groups but also within groups. In doing so, I employ a quadruple comparative design: not only are three countries compared, ethnic minorities within those countries are compared to each other and </w:t>
      </w:r>
      <w:r>
        <w:rPr>
          <w:lang w:val="en-US"/>
        </w:rPr>
        <w:lastRenderedPageBreak/>
        <w:t xml:space="preserve">to ethnic majorities. Moreover, thanks to oversampling ethnic minority groups, within-group differences can also be compared. </w:t>
      </w:r>
    </w:p>
    <w:p w:rsidR="002A3C52" w:rsidRDefault="002A3C52" w:rsidP="002A3C52">
      <w:pPr>
        <w:autoSpaceDE w:val="0"/>
        <w:autoSpaceDN w:val="0"/>
        <w:adjustRightInd w:val="0"/>
        <w:spacing w:before="240" w:after="0" w:line="360" w:lineRule="auto"/>
        <w:ind w:firstLine="708"/>
        <w:rPr>
          <w:lang w:val="en-US"/>
        </w:rPr>
      </w:pPr>
      <w:r>
        <w:rPr>
          <w:lang w:val="en-US"/>
        </w:rPr>
        <w:t xml:space="preserve">In the Netherlands, the oversample of groups of ethnic minority citizens will consist of 250 Dutch citizens with a Turkish background, 250 Dutch citizens with a Moroccan background and 150 Dutch citizens with a Surinamese background. Dutch citizens with no migration background will also be sampled to make for about half of all the respondents. In Germany, the oversample of groups of ethnic minority citizens will consist of 250 German citizens with a Turkish background, 250 German citizens with a background in the former Soviet Union and 500 German citizens with no migration background. In France, the oversample of groups of ethnic minority citizens will consist of 250 French citizens with a North-African background (Morocco, Tunisia, Algeria), 250 French citizens with a Sub-Saharan African background (Niger, Mauritania, Ivory Coast, French Sudan, Senegal, Chad, Gabon, Cameroon, Congo) and 85 French citizens with a Turkish background. The latter has, however, not been selected on the basis of numerical presence, but in order to have one constant category across the three countries of our selection and be able to better study ‘transnational communities’ </w:t>
      </w:r>
      <w:r>
        <w:rPr>
          <w:lang w:val="en-US"/>
        </w:rPr>
        <w:fldChar w:fldCharType="begin" w:fldLock="1"/>
      </w:r>
      <w:r>
        <w:rPr>
          <w:lang w:val="en-US"/>
        </w:rPr>
        <w:instrText>ADDIN CSL_CITATION {"citationItems":[{"id":"ITEM-1","itemData":{"DOI":"10.1111/1471-0374.00043","ISBN":"1471-0374","ISSN":"1470-2266","abstract":"Methodological nationalism is understood as the assumption that the nation/state/society is the natural social and political form of the modern world. We distinguish three modes of methodological nationalism that have characterized mainstream social science, and then show how these have influenced research on migration. We discover parallels between nationalist thinking and the conceptualization of migration in postwar social sciences. In a historical tour d’horizon, we show that this mainstream concept has developed in close interaction with nation-state building pro- cesses in the West and the role that immigration and integration policies have played within them. The shift towards a study of ‘transnational communities’ – the last phase in this process – was more a consequence of an epistemic move away from methodological nationalism than of the appearance of new objects of observation. The article concludes by recommending new concepts for analysis that, on the one hand, are not coloured by methodological nationalism and, on the other hand, go beyond the fluidism of much contemporary social theory.","author":[{"dropping-particle":"","family":"Wimmer","given":"Andreas","non-dropping-particle":"","parse-names":false,"suffix":""},{"dropping-particle":"","family":"Glick Schiller","given":"Nina","non-dropping-particle":"","parse-names":false,"suffix":""}],"container-title":"Global Networks","id":"ITEM-1","issued":{"date-parts":[["2002"]]},"title":"Methodological nationalism and beyond: nation-state building, migration and the social sciences","type":"article-journal"},"locator":"301","uris":["http://www.mendeley.com/documents/?uuid=367b16e4-02d6-411b-860f-7ac7e9c913e8","http://www.mendeley.com/documents/?uuid=f4b75794-dd06-480b-94fc-d785ef0679e8"]}],"mendeley":{"formattedCitation":"(Wimmer &amp; Glick Schiller, 2002, p. 301)","plainTextFormattedCitation":"(Wimmer &amp; Glick Schiller, 2002, p. 301)","previouslyFormattedCitation":"(Wimmer &amp; Glick Schiller, 2002, p. 301)"},"properties":{"noteIndex":0},"schema":"https://github.com/citation-style-language/schema/raw/master/csl-citation.json"}</w:instrText>
      </w:r>
      <w:r>
        <w:rPr>
          <w:lang w:val="en-US"/>
        </w:rPr>
        <w:fldChar w:fldCharType="separate"/>
      </w:r>
      <w:r>
        <w:rPr>
          <w:noProof/>
          <w:lang w:val="en-US"/>
        </w:rPr>
        <w:t>(Wimmer &amp; Glick Schiller, 2002, p. 301)</w:t>
      </w:r>
      <w:r>
        <w:rPr>
          <w:lang w:val="en-US"/>
        </w:rPr>
        <w:fldChar w:fldCharType="end"/>
      </w:r>
      <w:r>
        <w:rPr>
          <w:lang w:val="en-US"/>
        </w:rPr>
        <w:t xml:space="preserve">. French citizens with no migration background will also be sampled in a similar number as the total of the other groups in order to compare and contrast to the other groups. </w:t>
      </w:r>
    </w:p>
    <w:p w:rsidR="002A3C52" w:rsidRDefault="002A3C52" w:rsidP="002A3C52">
      <w:pPr>
        <w:autoSpaceDE w:val="0"/>
        <w:autoSpaceDN w:val="0"/>
        <w:adjustRightInd w:val="0"/>
        <w:spacing w:before="240" w:after="0" w:line="360" w:lineRule="auto"/>
        <w:ind w:firstLine="708"/>
        <w:rPr>
          <w:lang w:val="en-US"/>
        </w:rPr>
      </w:pPr>
      <w:r>
        <w:rPr>
          <w:lang w:val="en-US"/>
        </w:rPr>
        <w:t xml:space="preserve">One challenge worth mentioning are the legal restrictions in all three countries concerning the saving of data on ethnic background </w:t>
      </w:r>
      <w:r>
        <w:rPr>
          <w:lang w:val="en-US"/>
        </w:rPr>
        <w:fldChar w:fldCharType="begin" w:fldLock="1"/>
      </w:r>
      <w:r>
        <w:rPr>
          <w:lang w:val="en-US"/>
        </w:rPr>
        <w:instrText>ADDIN CSL_CITATION {"citationItems":[{"id":"ITEM-1","itemData":{"ISBN":"9089640525, 9789089640529","ISSN":"0048-4148","PMID":"5193471","abstract":"heinz fassmann, ursula reeger &amp; wiebke sievers ₍eds.₎ A m s t e r d a m U n i v e r s i t y P r e s s RepoRtS imiscoe Worldwide harmonisation of migration statistics is something international bodies dream of. And yet, attempts by organisations needing comparative data have not proven very successful thus far. More than just problematising the incomparability of migration statistics, Statistics and Reality shows how figures only ever mirror part of the truth. With this understanding, the authors of the twelve country reports contained in this volume show how the statistics used to describe European migration are based on different conceptualisations, each being closely tied to the particular history and migratory past of a nation. Moreover, each state has its own way of counting foreign citizens and foreign-born populations, conducting censuses, handling population registers and maintaining permit databases. While also reflecting recent trends in migration studies, such as the feminisation of migration and diversification in migrant origins, this book will convince readers that nowhere on the Continent are statistics synonymous with reality.","author":[{"dropping-particle":"","family":"Fassmann","given":"Eric","non-dropping-particle":"","parse-names":false,"suffix":""},{"dropping-particle":"","family":"Reeger","given":"Ursula","non-dropping-particle":"","parse-names":false,"suffix":""},{"dropping-particle":"","family":"Sievers","given":"Wiebke","non-dropping-particle":"","parse-names":false,"suffix":""}],"id":"ITEM-1","issued":{"date-parts":[["2009"]]},"number-of-pages":"12-13","publisher":"Amsterdam University Press (IMISCOE Research Series)","title":"Statistics and reality","type":"book","volume":"8"},"locator":"84","uris":["http://www.mendeley.com/documents/?uuid=a4420a38-eba7-4d75-be73-b6154f604aa6","http://www.mendeley.com/documents/?uuid=f50509ef-eb99-4ae0-ace2-ef0731529e53"]}],"mendeley":{"formattedCitation":"(Fassmann, Reeger, &amp; Sievers, 2009, p. 84)","plainTextFormattedCitation":"(Fassmann, Reeger, &amp; Sievers, 2009, p. 84)","previouslyFormattedCitation":"(Fassmann, Reeger, &amp; Sievers, 2009, p. 84)"},"properties":{"noteIndex":0},"schema":"https://github.com/citation-style-language/schema/raw/master/csl-citation.json"}</w:instrText>
      </w:r>
      <w:r>
        <w:rPr>
          <w:lang w:val="en-US"/>
        </w:rPr>
        <w:fldChar w:fldCharType="separate"/>
      </w:r>
      <w:r>
        <w:rPr>
          <w:noProof/>
          <w:lang w:val="en-US"/>
        </w:rPr>
        <w:t>(Fassmann, Reeger, &amp; Sievers, 2009, p. 84)</w:t>
      </w:r>
      <w:r>
        <w:rPr>
          <w:lang w:val="en-US"/>
        </w:rPr>
        <w:fldChar w:fldCharType="end"/>
      </w:r>
      <w:r>
        <w:rPr>
          <w:lang w:val="en-US"/>
        </w:rPr>
        <w:t xml:space="preserve">. In the Netherlands, laws prohibiting the registration of information on ethnicity are in place but are usually bypassed in practice </w:t>
      </w:r>
      <w:r>
        <w:rPr>
          <w:lang w:val="en-US"/>
        </w:rPr>
        <w:fldChar w:fldCharType="begin" w:fldLock="1"/>
      </w:r>
      <w:r>
        <w:rPr>
          <w:lang w:val="en-US"/>
        </w:rPr>
        <w:instrText>ADDIN CSL_CITATION {"citationItems":[{"id":"ITEM-1","itemData":{"DOI":"10.1186/s40878-017-0062-2","abstract":"This paper discusses the limitations of harmonised sampling designs for survey research on immigrants in Germany and the Netherlands. Although the concepts for immigrants are largely similar in both countries, there are severe constraints when it comes to comparable sampling designs. While in the Netherlands a sample can be drawn from a national population register by Statistics Netherlands, this is impossible in Germany due to the decentralised setup of the population register and legal restrictions on merging existing databases. Harmonisation of immigrant statistics is thus less a problem at the concept level than in the implementation. Achieving a harmonised data collection on immigrants for Germany and the Netherlands will be a major challenge.","author":[{"dropping-particle":"","family":"Salentin","given":"Kurt","non-dropping-particle":"","parse-names":false,"suffix":""},{"dropping-particle":"","family":"Schmeets","given":"Hans","non-dropping-particle":"","parse-names":false,"suffix":""}],"container-title":"Comparative Migration Studies","id":"ITEM-1","issue":"1","issued":{"date-parts":[["2017"]]},"page":"1-21","title":"Sampling immigrants in the Netherlands and Germany","type":"article-journal","volume":"5"},"uris":["http://www.mendeley.com/documents/?uuid=3ae857cf-cd69-4cd4-873d-9f1cc8aa19d2","http://www.mendeley.com/documents/?uuid=bdb59b2a-ff48-4af2-862f-23e35ee236a1"]}],"mendeley":{"formattedCitation":"(Salentin &amp; Schmeets, 2017)","plainTextFormattedCitation":"(Salentin &amp; Schmeets, 2017)","previouslyFormattedCitation":"(Salentin &amp; Schmeets, 2017)"},"properties":{"noteIndex":0},"schema":"https://github.com/citation-style-language/schema/raw/master/csl-citation.json"}</w:instrText>
      </w:r>
      <w:r>
        <w:rPr>
          <w:lang w:val="en-US"/>
        </w:rPr>
        <w:fldChar w:fldCharType="separate"/>
      </w:r>
      <w:r>
        <w:rPr>
          <w:noProof/>
          <w:lang w:val="en-US"/>
        </w:rPr>
        <w:t>(Salentin &amp; Schmeets, 2017)</w:t>
      </w:r>
      <w:r>
        <w:rPr>
          <w:lang w:val="en-US"/>
        </w:rPr>
        <w:fldChar w:fldCharType="end"/>
      </w:r>
      <w:r>
        <w:rPr>
          <w:lang w:val="en-US"/>
        </w:rPr>
        <w:t xml:space="preserve">. However, in Germany and France these legal restrictions are much more strict leading to the prohibition of saving information on ethnicity and national origin of parents </w:t>
      </w:r>
      <w:r>
        <w:rPr>
          <w:lang w:val="en-US"/>
        </w:rPr>
        <w:fldChar w:fldCharType="begin" w:fldLock="1"/>
      </w:r>
      <w:r>
        <w:rPr>
          <w:lang w:val="en-US"/>
        </w:rPr>
        <w:instrText>ADDIN CSL_CITATION {"citationItems":[{"id":"ITEM-1","itemData":{"DOI":"10.1093/oxfordhb/9780199669691.013.15","author":[{"dropping-particle":"","family":"Mayer","given":"Nonna","non-dropping-particle":"","parse-names":false,"suffix":""},{"dropping-particle":"","family":"Tiberj","given":"Vincent","non-dropping-particle":"","parse-names":false,"suffix":""}],"chapter-number":"5","container-title":"The Oxford Handbook of French Politics","editor":[{"dropping-particle":"","family":"Elgie","given":"Robert","non-dropping-particle":"","parse-names":false,"suffix":""},{"dropping-particle":"","family":"Grossman","given":"Emiliano","non-dropping-particle":"","parse-names":false,"suffix":""},{"dropping-particle":"","family":"Mazur","given":"Amy G.","non-dropping-particle":"","parse-names":false,"suffix":""}],"id":"ITEM-1","issued":{"date-parts":[["2016"]]},"title":"How to Study Political Culture Without Naming It","type":"chapter"},"uris":["http://www.mendeley.com/documents/?uuid=d4a86070-60b6-4459-b002-02a169a7925a","http://www.mendeley.com/documents/?uuid=d8867002-2760-4daa-a1b5-7af2bed140b1"]}],"mendeley":{"formattedCitation":"(Mayer &amp; Tiberj, 2016)","plainTextFormattedCitation":"(Mayer &amp; Tiberj, 2016)","previouslyFormattedCitation":"(Mayer &amp; Tiberj, 2016)"},"properties":{"noteIndex":0},"schema":"https://github.com/citation-style-language/schema/raw/master/csl-citation.json"}</w:instrText>
      </w:r>
      <w:r>
        <w:rPr>
          <w:lang w:val="en-US"/>
        </w:rPr>
        <w:fldChar w:fldCharType="separate"/>
      </w:r>
      <w:r>
        <w:rPr>
          <w:noProof/>
          <w:lang w:val="en-US"/>
        </w:rPr>
        <w:t>(Mayer &amp; Tiberj, 2016)</w:t>
      </w:r>
      <w:r>
        <w:rPr>
          <w:lang w:val="en-US"/>
        </w:rPr>
        <w:fldChar w:fldCharType="end"/>
      </w:r>
      <w:r>
        <w:rPr>
          <w:lang w:val="en-US"/>
        </w:rPr>
        <w:t xml:space="preserve">. This can pose challenges with regard to sampling </w:t>
      </w:r>
      <w:r>
        <w:rPr>
          <w:lang w:val="en-US"/>
        </w:rPr>
        <w:fldChar w:fldCharType="begin" w:fldLock="1"/>
      </w:r>
      <w:r>
        <w:rPr>
          <w:lang w:val="en-US"/>
        </w:rPr>
        <w:instrText>ADDIN CSL_CITATION {"citationItems":[{"id":"ITEM-1","itemData":{"DOI":"10.1093/jrs/femOO2","abstract":"This paper will examine the ways in which 'textbook' survey research methods need to be adapted and refined for research with forced migrants, and the ways in which cross-national contexts, as well as research within one national context with forced migrants from different communities, affect the utilization of survey methods. Linked to this, the ways in which survey design issues need to be sensitive to the diversity between and within countries and communities will be explored. The paper will draw on two surveys, one a UK national survey and the other a multi-sited comparative survey in the UK and South Africa, to explore access to forced migrants in different contexts and the appropriateness of different modes of data collection between and within countries and communities (e.g. paper self-completion, face-to-face interviews and web-based surveys). The impact of politics, language and literacy, gender, and immigration status, especially irregular and insecure statuses, will be examined.","author":[{"dropping-particle":"","family":"Bloch","given":"Alice","non-dropping-particle":"","parse-names":false,"suffix":""}],"container-title":"Journal of Refugee Studies","id":"ITEM-1","issue":"2","issued":{"date-parts":[["2007"]]},"page":"230–247","title":"Methodological Challenges for National and Multi-sited Comparative Survey Research","type":"article-journal","volume":"20"},"uris":["http://www.mendeley.com/documents/?uuid=3e549be9-aa15-4668-a31c-dc01ba949590","http://www.mendeley.com/documents/?uuid=294d339b-81ad-4411-95e7-3e341b0ac685"]}],"mendeley":{"formattedCitation":"(Bloch, 2007)","plainTextFormattedCitation":"(Bloch, 2007)","previouslyFormattedCitation":"(Bloch, 2007)"},"properties":{"noteIndex":0},"schema":"https://github.com/citation-style-language/schema/raw/master/csl-citation.json"}</w:instrText>
      </w:r>
      <w:r>
        <w:rPr>
          <w:lang w:val="en-US"/>
        </w:rPr>
        <w:fldChar w:fldCharType="separate"/>
      </w:r>
      <w:r>
        <w:rPr>
          <w:noProof/>
          <w:lang w:val="en-US"/>
        </w:rPr>
        <w:t>(Bloch, 2007)</w:t>
      </w:r>
      <w:r>
        <w:rPr>
          <w:lang w:val="en-US"/>
        </w:rPr>
        <w:fldChar w:fldCharType="end"/>
      </w:r>
      <w:r>
        <w:rPr>
          <w:lang w:val="en-US"/>
        </w:rPr>
        <w:t xml:space="preserve"> especially since it is advisable to keep sampling strategies constant across countries </w:t>
      </w:r>
      <w:r>
        <w:rPr>
          <w:lang w:val="en-US"/>
        </w:rPr>
        <w:fldChar w:fldCharType="begin" w:fldLock="1"/>
      </w:r>
      <w:r>
        <w:rPr>
          <w:lang w:val="en-US"/>
        </w:rPr>
        <w:instrText>ADDIN CSL_CITATION {"citationItems":[{"id":"ITEM-1","itemData":{"DOI":"10.12758/mda.2014.004","abstract":"This article investigates the impact of several sources of method bias on the cross-cultural comparison of attitudes towards gender roles and family ties among non-Western minority ethnic groups. In particular, it investigates how interviewer effects, the use of an interviewer with a shared ethnic background, interview language , interviewer gender, gender matching, the presence of others during the interview and differences in socio-demographic sample composition of non-Western minority ethnic groups affect the cross-cultural comparison of attitudes towards gender roles and family ties between these groups. The data used in this study come from a large scale face-to face survey conducted among the four largest non-Western minority ethnic groups in The Neth-erlands for which Statistics Netherlands drew a random sample of named individuals from each of the four largest non-Western minority populations living in The Netherlands. Furthermore, methods are introduced to estimate the potential impact of method bias on cross cultural comparisons. The results show that measurement of both gender roles and family ties constructs are full scalar invariant across the different ethnic groups, but that observed differences in attitudes between ethnic groups especially towards gender roles are influenced by method bias. This in turn leads to biased comparisons between ethnic groups because of differences in the size of the various sources of method bias, the differential impact of the same method bias between ethnic groups and the combination thereof.","author":[{"dropping-particle":"","family":"Kappelhof","given":"Joost W S","non-dropping-particle":"","parse-names":false,"suffix":""}],"container-title":"Methods, Data, Analyses","id":"ITEM-1","issue":"1","issued":{"date-parts":[["2014"]]},"page":"79-118","title":"The Impact of Method Bias on the Cross-Cultural Comparability in Face-to-Face Surveys Among Ethnic Minorities","type":"article-journal","volume":"8"},"uris":["http://www.mendeley.com/documents/?uuid=13786b77-f702-4e8a-9495-790ba39c8891","http://www.mendeley.com/documents/?uuid=a64b9928-e42c-409f-9ec2-8ffacd37dd00"]}],"mendeley":{"formattedCitation":"(Kappelhof, 2014)","plainTextFormattedCitation":"(Kappelhof, 2014)","previouslyFormattedCitation":"(Kappelhof, 2014)"},"properties":{"noteIndex":0},"schema":"https://github.com/citation-style-language/schema/raw/master/csl-citation.json"}</w:instrText>
      </w:r>
      <w:r>
        <w:rPr>
          <w:lang w:val="en-US"/>
        </w:rPr>
        <w:fldChar w:fldCharType="separate"/>
      </w:r>
      <w:r>
        <w:rPr>
          <w:noProof/>
          <w:lang w:val="en-US"/>
        </w:rPr>
        <w:t>(Kappelhof, 2014)</w:t>
      </w:r>
      <w:r>
        <w:rPr>
          <w:lang w:val="en-US"/>
        </w:rPr>
        <w:fldChar w:fldCharType="end"/>
      </w:r>
      <w:r>
        <w:rPr>
          <w:lang w:val="en-US"/>
        </w:rPr>
        <w:t xml:space="preserve"> to enable a comparative design. Stratified sampling is therefore impossible as there is no sampling frame to draw a sample from and new techniques need to be employed to overcome sampling challenges. </w:t>
      </w:r>
    </w:p>
    <w:p w:rsidR="002A3C52" w:rsidRDefault="002A3C52" w:rsidP="002A3C52">
      <w:pPr>
        <w:autoSpaceDE w:val="0"/>
        <w:autoSpaceDN w:val="0"/>
        <w:adjustRightInd w:val="0"/>
        <w:spacing w:before="240" w:after="0" w:line="360" w:lineRule="auto"/>
        <w:ind w:firstLine="708"/>
        <w:rPr>
          <w:lang w:val="en-US"/>
        </w:rPr>
      </w:pPr>
      <w:r>
        <w:rPr>
          <w:lang w:val="en-US"/>
        </w:rPr>
        <w:t>Therefore, I will employ a large scale filter question to a yet to be chosen panel</w:t>
      </w:r>
      <w:r>
        <w:rPr>
          <w:rStyle w:val="FootnoteReference"/>
          <w:lang w:val="en-US"/>
        </w:rPr>
        <w:footnoteReference w:id="5"/>
      </w:r>
      <w:r>
        <w:rPr>
          <w:lang w:val="en-US"/>
        </w:rPr>
        <w:t xml:space="preserve">. That means that a very large sample of a panel will be asked to participate in a mini-survey. The first and only question of this mini-survey asks whether they identify with a short list of specific ethnic groups, the groups that we are interested in drawing a subsample from. If they are part of a group we want to </w:t>
      </w:r>
      <w:r>
        <w:rPr>
          <w:lang w:val="en-US"/>
        </w:rPr>
        <w:lastRenderedPageBreak/>
        <w:t xml:space="preserve">oversample, they are immediately redirected to the survey. If they are part of a group we do not want to oversample, only a small percentage of the mini-survey respondents are redirected to the survey. In sum, this will enable us to form sizable groups of ethnic minority citizens for our final survey. </w:t>
      </w:r>
    </w:p>
    <w:p w:rsidR="00D976CD" w:rsidRDefault="00D976CD" w:rsidP="00D976CD">
      <w:pPr>
        <w:spacing w:before="240" w:after="0" w:line="360" w:lineRule="auto"/>
        <w:ind w:firstLine="708"/>
        <w:rPr>
          <w:lang w:val="en-US"/>
        </w:rPr>
      </w:pPr>
      <w:r>
        <w:rPr>
          <w:lang w:val="en-US"/>
        </w:rPr>
        <w:t xml:space="preserve">In this </w:t>
      </w:r>
      <w:r w:rsidR="002A3C52">
        <w:rPr>
          <w:lang w:val="en-US"/>
        </w:rPr>
        <w:t>research</w:t>
      </w:r>
      <w:r>
        <w:rPr>
          <w:lang w:val="en-US"/>
        </w:rPr>
        <w:t xml:space="preserve">, I first review three fields of literature. The field of representation studies informs the relationship between having the same gender and ethnicity as an MP and how this MP is evaluated </w:t>
      </w:r>
      <w:r>
        <w:rPr>
          <w:lang w:val="en-US"/>
        </w:rPr>
        <w:fldChar w:fldCharType="begin" w:fldLock="1"/>
      </w:r>
      <w:r>
        <w:rPr>
          <w:lang w:val="en-US"/>
        </w:rPr>
        <w:instrText>ADDIN CSL_CITATION {"citationItems":[{"id":"ITEM-1","itemData":{"author":[{"dropping-particle":"","family":"Pitkin","given":"Hanna F.","non-dropping-particle":"","parse-names":false,"suffix":""}],"id":"ITEM-1","issued":{"date-parts":[["1967"]]},"publisher":"University of California Press","publisher-place":"Berkeley and Los Angeles","title":"The Concept of Representation","type":"book"},"uris":["http://www.mendeley.com/documents/?uuid=0bffd8ec-17e8-39fd-86e0-5ae6de4686d8"]}],"mendeley":{"formattedCitation":"(Pitkin, 1967)","plainTextFormattedCitation":"(Pitkin, 1967)","previouslyFormattedCitation":"(Pitkin, 1967)"},"properties":{"noteIndex":0},"schema":"https://github.com/citation-style-language/schema/raw/master/csl-citation.json"}</w:instrText>
      </w:r>
      <w:r>
        <w:rPr>
          <w:lang w:val="en-US"/>
        </w:rPr>
        <w:fldChar w:fldCharType="separate"/>
      </w:r>
      <w:r>
        <w:rPr>
          <w:noProof/>
          <w:lang w:val="en-US"/>
        </w:rPr>
        <w:t>(Pitkin, 1967)</w:t>
      </w:r>
      <w:r>
        <w:rPr>
          <w:lang w:val="en-US"/>
        </w:rPr>
        <w:fldChar w:fldCharType="end"/>
      </w:r>
      <w:r>
        <w:rPr>
          <w:lang w:val="en-US"/>
        </w:rPr>
        <w:t xml:space="preserve">, which underlines the urgency to give the identity of the represented more attention than scholars have done so far </w:t>
      </w:r>
      <w:r>
        <w:rPr>
          <w:lang w:val="en-US"/>
        </w:rPr>
        <w:fldChar w:fldCharType="begin" w:fldLock="1"/>
      </w:r>
      <w:r>
        <w:rPr>
          <w:lang w:val="en-US"/>
        </w:rPr>
        <w:instrText>ADDIN CSL_CITATION {"citationItems":[{"id":"ITEM-1","itemData":{"DOI":"10.1093/acprof:oso/9780199579389.001.0001","ISBN":"9780191722950","ISSN":"1470-8914","PMID":"16683413","abstract":"Recent work on the idea of political representation has challenged effectively orthodox accounts of constituency and interests. However, discussions of representation need to focus more on its dynamics prior to further work on its forms. To that end, the idea of the representative claim is advanced and defended. Focusing on the representative claim helps us to: link aesthetic and cultural representation with political representation; grasp the importance of performance to representation; take non-electoral representation seriously; and to underline the contingency and contestability of all forms of representation. The article draws upon a range of sources and ideas to sketch a new, broader and more complex picture of the representative claim which — despite the complexity — helps us to reconnect representation theory to pressing real-world challenges.","author":[{"dropping-particle":"","family":"Saward","given":"Michael","non-dropping-particle":"","parse-names":false,"suffix":""}],"container-title":"The Representative Claim","id":"ITEM-1","issued":{"date-parts":[["2010"]]},"title":"The Representative Claim","type":"book"},"uris":["http://www.mendeley.com/documents/?uuid=ccb9d1ce-0ef3-3b69-84f5-71c1211b1a17"]}],"mendeley":{"formattedCitation":"(Saward, 2010)","plainTextFormattedCitation":"(Saward, 2010)","previouslyFormattedCitation":"(Saward, 2010)"},"properties":{"noteIndex":0},"schema":"https://github.com/citation-style-language/schema/raw/master/csl-citation.json"}</w:instrText>
      </w:r>
      <w:r>
        <w:rPr>
          <w:lang w:val="en-US"/>
        </w:rPr>
        <w:fldChar w:fldCharType="separate"/>
      </w:r>
      <w:r>
        <w:rPr>
          <w:noProof/>
          <w:lang w:val="en-US"/>
        </w:rPr>
        <w:t>(Saward, 2010)</w:t>
      </w:r>
      <w:r>
        <w:rPr>
          <w:lang w:val="en-US"/>
        </w:rPr>
        <w:fldChar w:fldCharType="end"/>
      </w:r>
      <w:r>
        <w:rPr>
          <w:lang w:val="en-US"/>
        </w:rPr>
        <w:t xml:space="preserve">. Although looking like your assumed representative has often been understood to be fulfilled when all the identity boxes are ticked, intersectionality </w:t>
      </w:r>
      <w:r>
        <w:rPr>
          <w:lang w:val="en-US"/>
        </w:rPr>
        <w:fldChar w:fldCharType="begin" w:fldLock="1"/>
      </w:r>
      <w:r>
        <w:rPr>
          <w:lang w:val="en-US"/>
        </w:rPr>
        <w:instrText>ADDIN CSL_CITATION {"citationItems":[{"id":"ITEM-1","itemData":{"author":[{"dropping-particle":"","family":"Crenshaw","given":"Kimberle","non-dropping-particle":"","parse-names":false,"suffix":""}],"container-title":"University of Chicago Legal Forum","id":"ITEM-1","issue":"1","issued":{"date-parts":[["0"]]},"title":"Demarginalizing the Intersection of Race and Sex: A Black Feminist Critique of Antidiscrimination Doctrine, Feminist Theory and Antiracist Politics Recommended Citation Crenshaw, Kimberle () &amp;quot;Demarginalizing the Intersection of Race and Sex: A Black Feminist Critique of Antidiscrimination Doctrine, Feminist Theory and Antiracist Politics","type":"report","volume":"1989"},"uris":["http://www.mendeley.com/documents/?uuid=589199e4-5a35-3206-ac7c-9f724836ee17"]}],"mendeley":{"formattedCitation":"(Crenshaw, n.d.)","plainTextFormattedCitation":"(Crenshaw, n.d.)","previouslyFormattedCitation":"(Crenshaw, n.d.)"},"properties":{"noteIndex":0},"schema":"https://github.com/citation-style-language/schema/raw/master/csl-citation.json"}</w:instrText>
      </w:r>
      <w:r>
        <w:rPr>
          <w:lang w:val="en-US"/>
        </w:rPr>
        <w:fldChar w:fldCharType="separate"/>
      </w:r>
      <w:r>
        <w:rPr>
          <w:noProof/>
          <w:lang w:val="en-US"/>
        </w:rPr>
        <w:t>(Crenshaw, n.d.)</w:t>
      </w:r>
      <w:r>
        <w:rPr>
          <w:lang w:val="en-US"/>
        </w:rPr>
        <w:fldChar w:fldCharType="end"/>
      </w:r>
      <w:r>
        <w:rPr>
          <w:lang w:val="en-US"/>
        </w:rPr>
        <w:t xml:space="preserve"> offers ways to understand that the various identity categories a citizen belongs to (1) influence each other and (2) are susceptible to various degrees of membership </w:t>
      </w:r>
      <w:r>
        <w:rPr>
          <w:lang w:val="en-US"/>
        </w:rPr>
        <w:fldChar w:fldCharType="begin" w:fldLock="1"/>
      </w:r>
      <w:r>
        <w:rPr>
          <w:lang w:val="en-US"/>
        </w:rPr>
        <w:instrText>ADDIN CSL_CITATION {"citationItems":[{"id":"ITEM-1","itemData":{"DOI":"10.1017/S1537592707070065","ISBN":"1537-5927","ISSN":"15375927","PMID":"25246403","abstract":"In thepast twentyears,intersectionalithyas emergedas a compellingresponsetoargumentson behalfof identity-basepdolitics acrossthediscipline.Ithasdone sobydrawingattentiontothesimultaneousand interactinegffectosfgender,race,class,sexual orientationa,ndnationaloriginascategorieosfdifferenceI.ntersectionalrgumentasnd researchfindinghsavehadvaryinglevelsof impactinfeministheorys,ocialmovements,internationahluman rightsp,ublicpolicy,and electoralbehaviorresearcwhithin politicalscienceandacrossthedisciplinesofsociologyc,riticallegalstudies,andhistoryY.etconsiderationofintersectionalitaysa researchparadigmhasyettogainawidefootholdinpoliticalscienceT.hisarticlecloselyreadsresearchonraceandgenderacross subfieldosfpoliticalsciencetopresenta coherentsetofempiricalresearchstandardsforintersectionali","author":[{"dropping-particle":"","family":"Hancock","given":"Ange Marie","non-dropping-particle":"","parse-names":false,"suffix":""}],"container-title":"Perspectives on Politics","id":"ITEM-1","issued":{"date-parts":[["2007"]]},"title":"When multiplication doesn't equal quick addition: Examining intersectionality as a research paradigm","type":"article-journal"},"uris":["http://www.mendeley.com/documents/?uuid=c4f0c731-034a-347c-b53b-7fe53a004bd3"]}],"mendeley":{"formattedCitation":"(Hancock, 2007)","plainTextFormattedCitation":"(Hancock, 2007)","previouslyFormattedCitation":"(Hancock, 2007)"},"properties":{"noteIndex":0},"schema":"https://github.com/citation-style-language/schema/raw/master/csl-citation.json"}</w:instrText>
      </w:r>
      <w:r>
        <w:rPr>
          <w:lang w:val="en-US"/>
        </w:rPr>
        <w:fldChar w:fldCharType="separate"/>
      </w:r>
      <w:r>
        <w:rPr>
          <w:noProof/>
          <w:lang w:val="en-US"/>
        </w:rPr>
        <w:t>(Hancock, 2007)</w:t>
      </w:r>
      <w:r>
        <w:rPr>
          <w:lang w:val="en-US"/>
        </w:rPr>
        <w:fldChar w:fldCharType="end"/>
      </w:r>
      <w:r>
        <w:rPr>
          <w:lang w:val="en-US"/>
        </w:rPr>
        <w:t xml:space="preserve">. Moreover, identity categories are not only shaped by cognitive connectedness </w:t>
      </w:r>
      <w:r>
        <w:rPr>
          <w:lang w:val="en-US"/>
        </w:rPr>
        <w:fldChar w:fldCharType="begin" w:fldLock="1"/>
      </w:r>
      <w:r>
        <w:rPr>
          <w:lang w:val="en-US"/>
        </w:rPr>
        <w:instrText>ADDIN CSL_CITATION {"citationItems":[{"id":"ITEM-1","itemData":{"author":[{"dropping-particle":"","family":"Turner, J. C., Hogg, M. A., Oakes, P. J., Reicher, S. D., &amp; Wetherell","given":"M. S.","non-dropping-particle":"","parse-names":false,"suffix":""}],"id":"ITEM-1","issued":{"date-parts":[["1987"]]},"publisher":"Basil Blackwell","publisher-place":"Cambridge, MA, US","title":"Rediscovering the social group: A self-categorization theory.","type":"book"},"uris":["http://www.mendeley.com/documents/?uuid=b33af231-1842-310f-9ac0-8e16f669d322"]}],"mendeley":{"formattedCitation":"(Turner, J. C., Hogg, M. A., Oakes, P. J., Reicher, S. D., &amp; Wetherell, 1987)","plainTextFormattedCitation":"(Turner, J. C., Hogg, M. A., Oakes, P. J., Reicher, S. D., &amp; Wetherell, 1987)","previouslyFormattedCitation":"(Turner, J. C., Hogg, M. A., Oakes, P. J., Reicher, S. D., &amp; Wetherell, 1987)"},"properties":{"noteIndex":0},"schema":"https://github.com/citation-style-language/schema/raw/master/csl-citation.json"}</w:instrText>
      </w:r>
      <w:r>
        <w:rPr>
          <w:lang w:val="en-US"/>
        </w:rPr>
        <w:fldChar w:fldCharType="separate"/>
      </w:r>
      <w:r>
        <w:rPr>
          <w:noProof/>
          <w:lang w:val="en-US"/>
        </w:rPr>
        <w:t>(Turner, Hogg, Oakes, Reicher, &amp; Wetherell, 1987)</w:t>
      </w:r>
      <w:r>
        <w:rPr>
          <w:lang w:val="en-US"/>
        </w:rPr>
        <w:fldChar w:fldCharType="end"/>
      </w:r>
      <w:r>
        <w:rPr>
          <w:lang w:val="en-US"/>
        </w:rPr>
        <w:t xml:space="preserve"> but also by group status </w:t>
      </w:r>
      <w:r>
        <w:rPr>
          <w:lang w:val="en-US"/>
        </w:rPr>
        <w:fldChar w:fldCharType="begin" w:fldLock="1"/>
      </w:r>
      <w:r>
        <w:rPr>
          <w:lang w:val="en-US"/>
        </w:rPr>
        <w:instrText>ADDIN CSL_CITATION {"citationItems":[{"id":"ITEM-1","itemData":{"author":[{"dropping-particle":"","family":"Tajfel","given":"H.","non-dropping-particle":"","parse-names":false,"suffix":""},{"dropping-particle":"","family":"Turner","given":"J. C.","non-dropping-particle":"","parse-names":false,"suffix":""}],"container-title":"The Social Psychology of Intergroup Relations.","editor":[{"dropping-particle":"","family":"W. G. Austin &amp; S. Worchel","given":"","non-dropping-particle":"","parse-names":false,"suffix":""}],"id":"ITEM-1","issued":{"date-parts":[["1979"]]},"publisher":"Brooks-Cole .","publisher-place":"Monterey, CA","title":"An Integrative Theory of Intergroup Conflict","type":"chapter"},"uris":["http://www.mendeley.com/documents/?uuid=1e2ad8e5-4e49-36dd-bf05-7324ba1f655c"]}],"mendeley":{"formattedCitation":"(Tajfel &amp; Turner, 1979)","plainTextFormattedCitation":"(Tajfel &amp; Turner, 1979)","previouslyFormattedCitation":"(Tajfel &amp; Turner, 1979)"},"properties":{"noteIndex":0},"schema":"https://github.com/citation-style-language/schema/raw/master/csl-citation.json"}</w:instrText>
      </w:r>
      <w:r>
        <w:rPr>
          <w:lang w:val="en-US"/>
        </w:rPr>
        <w:fldChar w:fldCharType="separate"/>
      </w:r>
      <w:r>
        <w:rPr>
          <w:noProof/>
          <w:lang w:val="en-US"/>
        </w:rPr>
        <w:t>(Tajfel &amp; Turner, 1979)</w:t>
      </w:r>
      <w:r>
        <w:rPr>
          <w:lang w:val="en-US"/>
        </w:rPr>
        <w:fldChar w:fldCharType="end"/>
      </w:r>
      <w:r>
        <w:rPr>
          <w:lang w:val="en-US"/>
        </w:rPr>
        <w:t xml:space="preserve">. </w:t>
      </w:r>
    </w:p>
    <w:p w:rsidR="00D976CD" w:rsidRDefault="00D976CD" w:rsidP="00D976CD">
      <w:pPr>
        <w:spacing w:before="240" w:after="0" w:line="360" w:lineRule="auto"/>
        <w:ind w:firstLine="708"/>
        <w:rPr>
          <w:lang w:val="en-US"/>
        </w:rPr>
      </w:pPr>
      <w:r>
        <w:rPr>
          <w:lang w:val="en-US"/>
        </w:rPr>
        <w:t xml:space="preserve">I then connect the field of representation, intersectionality and identity with the increasingly popular method of hypothetical conjoint experiments </w:t>
      </w:r>
      <w:r>
        <w:rPr>
          <w:lang w:val="en-US"/>
        </w:rPr>
        <w:fldChar w:fldCharType="begin" w:fldLock="1"/>
      </w:r>
      <w:r>
        <w:rPr>
          <w:lang w:val="en-US"/>
        </w:rPr>
        <w:instrText>ADDIN CSL_CITATION {"citationItems":[{"id":"ITEM-1","itemData":{"DOI":"10.1093/pan/mpt024","ISBN":"1047-1987","ISSN":"14764989","abstract":"Survey experiments are a core tool for causal inference. Yet, the design of classical survey experiments prevents them from identifying which components of a multidimensional treatment are influential. Here, we show how conjoint analysis, an experimental design yet to be widely applied in political science, enables researchers to estimate the causal effects of multiple treatment components and assess several causal hypotheses simultaneously. In conjoint analysis, respondents score a set of alternatives, where each has randomly varied attributes. Here, we undertake a formal identification analysis to integrate conjoint analysis with the potential outcomes framework for causal inference. We propose a new causal estimand and show that it can be nonparametrically identified and easily estimated from conjoint data using a fully randomized design. We then demonstrate the value of these techniques through empirical applications to voter decision-making and attitudes toward immigrants.","author":[{"dropping-particle":"","family":"Hainmueller","given":"Jens","non-dropping-particle":"","parse-names":false,"suffix":""},{"dropping-particle":"","family":"Hopkins","given":"Daniel J.","non-dropping-particle":"","parse-names":false,"suffix":""},{"dropping-particle":"","family":"Yamamoto","given":"Teppei","non-dropping-particle":"","parse-names":false,"suffix":""}],"container-title":"Political Analysis","id":"ITEM-1","issued":{"date-parts":[["2014"]]},"title":"Causal inference in conjoint analysis: Understanding multidimensional choices via stated preference experiments","type":"article-journal"},"uris":["http://www.mendeley.com/documents/?uuid=42c8d483-16bd-3eef-b17d-2af355e9cb9a"]}],"mendeley":{"formattedCitation":"(Hainmueller, Hopkins, &amp; Yamamoto, 2014)","plainTextFormattedCitation":"(Hainmueller, Hopkins, &amp; Yamamoto, 2014)","previouslyFormattedCitation":"(Hainmueller, Hopkins, &amp; Yamamoto, 2014)"},"properties":{"noteIndex":0},"schema":"https://github.com/citation-style-language/schema/raw/master/csl-citation.json"}</w:instrText>
      </w:r>
      <w:r>
        <w:rPr>
          <w:lang w:val="en-US"/>
        </w:rPr>
        <w:fldChar w:fldCharType="separate"/>
      </w:r>
      <w:r>
        <w:rPr>
          <w:noProof/>
          <w:lang w:val="en-US"/>
        </w:rPr>
        <w:t>(Hainmueller, Hopkins, &amp; Yamamoto, 2014)</w:t>
      </w:r>
      <w:r>
        <w:rPr>
          <w:lang w:val="en-US"/>
        </w:rPr>
        <w:fldChar w:fldCharType="end"/>
      </w:r>
      <w:r>
        <w:rPr>
          <w:lang w:val="en-US"/>
        </w:rPr>
        <w:t xml:space="preserve">. I offer innovative solutions to the limitations of this method and propose new ways to research how identities shape the evaluations of representation. I then go on to conceptualize gender as a non-binary and societally constructed concept and I conceptualize ethnicity as an umbrella term consisting of race, religion and immigrant background. Together, this leads to my two main hypotheses: the co-identities hypothesis and the complex-identities hypothesis. Then, I operationalize these conjectures by studying citizen evaluations of MPs in the Netherlands, Germany and France among the largest ethnic groups of these countries. I reflect on the strengths and weaknesses of experimental designs and propose ways to make the best out of both. I then turn to operationalizing the independent, dependent and moderating variables. After my conclusion, I propose a time table and a table of contents for my dissertation. </w:t>
      </w:r>
    </w:p>
    <w:p w:rsidR="00D976CD" w:rsidRDefault="00D976CD" w:rsidP="00D976CD">
      <w:pPr>
        <w:spacing w:before="240" w:after="0" w:line="360" w:lineRule="auto"/>
        <w:ind w:firstLine="708"/>
        <w:rPr>
          <w:lang w:val="en-US"/>
        </w:rPr>
      </w:pPr>
      <w:r>
        <w:rPr>
          <w:lang w:val="en-US"/>
        </w:rPr>
        <w:t xml:space="preserve">I seek to make the following contributions. First, I will make theoretical advancements placing the relationship between identity and evaluations as the central focus in research on representation. Second, empirical advances are made through the generation of original data with survey experiments amongst the largest ethnic groups across the Netherlands, Germany and France. Third, methodological advances will be made through the validation of hypothetical politician experiments by means of surveys of evaluations of real world politicians. Fourth, I seek to contribute to discussions in society on diversity, equality and politics with quantitative data on questions many </w:t>
      </w:r>
      <w:r>
        <w:rPr>
          <w:lang w:val="en-US"/>
        </w:rPr>
        <w:lastRenderedPageBreak/>
        <w:t>assume to know the answers to. Indeed, ‘[c]</w:t>
      </w:r>
      <w:proofErr w:type="spellStart"/>
      <w:r>
        <w:rPr>
          <w:lang w:val="en-US"/>
        </w:rPr>
        <w:t>ontemporary</w:t>
      </w:r>
      <w:proofErr w:type="spellEnd"/>
      <w:r>
        <w:rPr>
          <w:lang w:val="en-US"/>
        </w:rPr>
        <w:t xml:space="preserve"> societies are diverse and far from equal. It is time to get these numbers right’ </w:t>
      </w:r>
      <w:r>
        <w:rPr>
          <w:lang w:val="en-US"/>
        </w:rPr>
        <w:fldChar w:fldCharType="begin" w:fldLock="1"/>
      </w:r>
      <w:r>
        <w:rPr>
          <w:lang w:val="en-US"/>
        </w:rPr>
        <w:instrText>ADDIN CSL_CITATION {"citationItems":[{"id":"ITEM-1","itemData":{"DOI":"10.1177/0263395716684527","ISBN":"0263395716684","abstract":"Presence, of bodies and ideas, is often taken as the primary indicator of political equality and, hence, democratic health. Intersectionality and constructivism question the validity of measuring presence. Turning theory into practice, we propose a comparative reflexive design guided by two research questions: (1) Who are the groups? and (2) What are their problems? This reveals both prototypical and non-prototypical groups and interests, from the perspectives of politicians (from above) and citizens (from below). We suggest concrete qualitative and quantitative methodological strategies to study these questions empirically.","author":[{"dropping-particle":"","family":"Celis","given":"Karen","non-dropping-particle":"","parse-names":false,"suffix":""},{"dropping-particle":"","family":"Mügge","given":"Liza M.","non-dropping-particle":"","parse-names":false,"suffix":""}],"container-title":"Politics","id":"ITEM-1","issue":"2","issued":{"date-parts":[["2018"]]},"page":"197–213","title":"Whose equality? Measuring group representation","type":"article-journal","volume":"38"},"uris":["http://www.mendeley.com/documents/?uuid=87d91893-040b-41c0-a15b-9ed4e82bcda3","http://www.mendeley.com/documents/?uuid=a0512e67-76ea-476e-801c-8a1a22c10cd9"]}],"mendeley":{"formattedCitation":"(Celis &amp; Mügge, 2018)","plainTextFormattedCitation":"(Celis &amp; Mügge, 2018)","previouslyFormattedCitation":"(Celis &amp; Mügge, 2018)"},"properties":{"noteIndex":0},"schema":"https://github.com/citation-style-language/schema/raw/master/csl-citation.json"}</w:instrText>
      </w:r>
      <w:r>
        <w:rPr>
          <w:lang w:val="en-US"/>
        </w:rPr>
        <w:fldChar w:fldCharType="separate"/>
      </w:r>
      <w:r>
        <w:rPr>
          <w:noProof/>
          <w:lang w:val="en-US"/>
        </w:rPr>
        <w:t>(Celis &amp; Mügge, 2018)</w:t>
      </w:r>
      <w:r>
        <w:rPr>
          <w:lang w:val="en-US"/>
        </w:rPr>
        <w:fldChar w:fldCharType="end"/>
      </w:r>
      <w:r>
        <w:rPr>
          <w:lang w:val="en-US"/>
        </w:rPr>
        <w:t xml:space="preserve">. </w:t>
      </w:r>
    </w:p>
    <w:p w:rsidR="00D976CD" w:rsidRDefault="00D976CD" w:rsidP="00773A5E">
      <w:pPr>
        <w:rPr>
          <w:b/>
          <w:lang w:val="en-US"/>
        </w:rPr>
      </w:pPr>
    </w:p>
    <w:p w:rsidR="00A5791B" w:rsidRPr="00773A5E" w:rsidRDefault="00B85AA6" w:rsidP="00773A5E">
      <w:pPr>
        <w:rPr>
          <w:b/>
          <w:lang w:val="en-US"/>
        </w:rPr>
      </w:pPr>
      <w:r w:rsidRPr="00773A5E">
        <w:rPr>
          <w:b/>
          <w:lang w:val="en-US"/>
        </w:rPr>
        <w:t>Synopsis conjoint experiment</w:t>
      </w:r>
    </w:p>
    <w:tbl>
      <w:tblPr>
        <w:tblW w:w="11470" w:type="dxa"/>
        <w:tblInd w:w="-1156" w:type="dxa"/>
        <w:tblCellMar>
          <w:left w:w="0" w:type="dxa"/>
          <w:right w:w="0" w:type="dxa"/>
        </w:tblCellMar>
        <w:tblLook w:val="04A0" w:firstRow="1" w:lastRow="0" w:firstColumn="1" w:lastColumn="0" w:noHBand="0" w:noVBand="1"/>
      </w:tblPr>
      <w:tblGrid>
        <w:gridCol w:w="2264"/>
        <w:gridCol w:w="2544"/>
        <w:gridCol w:w="2410"/>
        <w:gridCol w:w="2410"/>
        <w:gridCol w:w="1842"/>
      </w:tblGrid>
      <w:tr w:rsidR="00345F86" w:rsidRPr="00773A5E" w:rsidTr="001D5DFA">
        <w:trPr>
          <w:trHeight w:val="526"/>
        </w:trPr>
        <w:tc>
          <w:tcPr>
            <w:tcW w:w="22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Attribute</w:t>
            </w:r>
          </w:p>
        </w:tc>
        <w:tc>
          <w:tcPr>
            <w:tcW w:w="254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Value 1</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Value 2</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Value 3</w:t>
            </w:r>
          </w:p>
        </w:tc>
        <w:tc>
          <w:tcPr>
            <w:tcW w:w="184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 xml:space="preserve">Value 4 </w:t>
            </w:r>
          </w:p>
        </w:tc>
      </w:tr>
      <w:tr w:rsidR="00E13C57" w:rsidRPr="00A86562"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Sex</w:t>
            </w:r>
          </w:p>
        </w:tc>
        <w:tc>
          <w:tcPr>
            <w:tcW w:w="254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CF3700">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Male</w:t>
            </w:r>
            <w:r w:rsidR="00CF3700">
              <w:rPr>
                <w:rFonts w:eastAsia="Times New Roman" w:cstheme="minorHAnsi"/>
                <w:color w:val="000000" w:themeColor="dark1"/>
                <w:kern w:val="24"/>
                <w:sz w:val="20"/>
                <w:szCs w:val="20"/>
                <w:lang w:val="en-US"/>
              </w:rPr>
              <w:t xml:space="preserve"> – signaled through profile picture, name and “he”</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Female</w:t>
            </w:r>
            <w:r w:rsidR="00CF3700">
              <w:rPr>
                <w:rFonts w:eastAsia="Times New Roman" w:cstheme="minorHAnsi"/>
                <w:color w:val="000000" w:themeColor="dark1"/>
                <w:kern w:val="24"/>
                <w:sz w:val="20"/>
                <w:szCs w:val="20"/>
                <w:lang w:val="en-US"/>
              </w:rPr>
              <w:t xml:space="preserve"> – signaled through profile picture, name and “she”</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r>
      <w:tr w:rsidR="00E13C57" w:rsidRPr="00345F86"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Migration background</w:t>
            </w:r>
            <w:r>
              <w:rPr>
                <w:rFonts w:eastAsia="Times New Roman" w:hAnsi="Calibri" w:cs="Calibri"/>
                <w:b/>
                <w:bCs/>
                <w:color w:val="FFFFFF" w:themeColor="light1"/>
                <w:kern w:val="24"/>
                <w:sz w:val="32"/>
                <w:szCs w:val="32"/>
                <w:lang w:val="en-US"/>
              </w:rPr>
              <w:t xml:space="preserve"> - Netherlands</w:t>
            </w:r>
          </w:p>
        </w:tc>
        <w:tc>
          <w:tcPr>
            <w:tcW w:w="25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Turkey</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Morocco</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B85AA6">
            <w:pPr>
              <w:spacing w:after="0"/>
              <w:rPr>
                <w:rFonts w:eastAsia="Times New Roman" w:cstheme="minorHAnsi"/>
                <w:sz w:val="20"/>
                <w:szCs w:val="20"/>
                <w:lang w:val="en-US"/>
              </w:rPr>
            </w:pPr>
            <w:r w:rsidRPr="00345F86">
              <w:rPr>
                <w:rFonts w:eastAsia="Times New Roman" w:cstheme="minorHAnsi"/>
                <w:sz w:val="20"/>
                <w:szCs w:val="20"/>
                <w:lang w:val="en-US"/>
              </w:rPr>
              <w:t>Surinam</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None</w:t>
            </w:r>
          </w:p>
        </w:tc>
      </w:tr>
      <w:tr w:rsidR="00345F86" w:rsidRPr="00345F86"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345F86" w:rsidRPr="00345F86" w:rsidRDefault="00345F86" w:rsidP="00345F86">
            <w:pPr>
              <w:spacing w:after="0"/>
              <w:rPr>
                <w:rFonts w:eastAsia="Times New Roman" w:hAnsi="Calibri" w:cs="Calibri"/>
                <w:b/>
                <w:bCs/>
                <w:color w:val="FFFFFF" w:themeColor="light1"/>
                <w:kern w:val="24"/>
                <w:sz w:val="32"/>
                <w:szCs w:val="32"/>
                <w:lang w:val="en-US"/>
              </w:rPr>
            </w:pPr>
            <w:r w:rsidRPr="00345F86">
              <w:rPr>
                <w:rFonts w:eastAsia="Times New Roman" w:hAnsi="Calibri" w:cs="Calibri"/>
                <w:b/>
                <w:bCs/>
                <w:color w:val="FFFFFF" w:themeColor="light1"/>
                <w:kern w:val="24"/>
                <w:sz w:val="32"/>
                <w:szCs w:val="32"/>
                <w:lang w:val="en-US"/>
              </w:rPr>
              <w:t>Migration background</w:t>
            </w:r>
            <w:r>
              <w:rPr>
                <w:rFonts w:eastAsia="Times New Roman" w:hAnsi="Calibri" w:cs="Calibri"/>
                <w:b/>
                <w:bCs/>
                <w:color w:val="FFFFFF" w:themeColor="light1"/>
                <w:kern w:val="24"/>
                <w:sz w:val="32"/>
                <w:szCs w:val="32"/>
                <w:lang w:val="en-US"/>
              </w:rPr>
              <w:t xml:space="preserve"> - Germany</w:t>
            </w:r>
          </w:p>
        </w:tc>
        <w:tc>
          <w:tcPr>
            <w:tcW w:w="25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Turkey</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1D0197" w:rsidP="00345F86">
            <w:pPr>
              <w:spacing w:after="0"/>
              <w:rPr>
                <w:rFonts w:eastAsia="Times New Roman" w:cstheme="minorHAnsi"/>
                <w:sz w:val="20"/>
                <w:szCs w:val="20"/>
                <w:lang w:val="en-US"/>
              </w:rPr>
            </w:pPr>
            <w:r w:rsidRPr="00345F86">
              <w:rPr>
                <w:rFonts w:eastAsia="Times New Roman" w:cstheme="minorHAnsi"/>
                <w:sz w:val="20"/>
                <w:szCs w:val="20"/>
                <w:lang w:val="en-US"/>
              </w:rPr>
              <w:t>Former Soviet Union</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None</w:t>
            </w:r>
          </w:p>
        </w:tc>
      </w:tr>
      <w:tr w:rsidR="00345F86" w:rsidRPr="00345F86"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345F86" w:rsidRPr="00345F86" w:rsidRDefault="00345F86" w:rsidP="00345F86">
            <w:pPr>
              <w:spacing w:after="0"/>
              <w:rPr>
                <w:rFonts w:eastAsia="Times New Roman" w:hAnsi="Calibri" w:cs="Calibri"/>
                <w:b/>
                <w:bCs/>
                <w:color w:val="FFFFFF" w:themeColor="light1"/>
                <w:kern w:val="24"/>
                <w:sz w:val="32"/>
                <w:szCs w:val="32"/>
                <w:lang w:val="en-US"/>
              </w:rPr>
            </w:pPr>
            <w:r w:rsidRPr="00345F86">
              <w:rPr>
                <w:rFonts w:eastAsia="Times New Roman" w:hAnsi="Calibri" w:cs="Calibri"/>
                <w:b/>
                <w:bCs/>
                <w:color w:val="FFFFFF" w:themeColor="light1"/>
                <w:kern w:val="24"/>
                <w:sz w:val="32"/>
                <w:szCs w:val="32"/>
                <w:lang w:val="en-US"/>
              </w:rPr>
              <w:t>Migration background</w:t>
            </w:r>
            <w:r>
              <w:rPr>
                <w:rFonts w:eastAsia="Times New Roman" w:hAnsi="Calibri" w:cs="Calibri"/>
                <w:b/>
                <w:bCs/>
                <w:color w:val="FFFFFF" w:themeColor="light1"/>
                <w:kern w:val="24"/>
                <w:sz w:val="32"/>
                <w:szCs w:val="32"/>
                <w:lang w:val="en-US"/>
              </w:rPr>
              <w:t xml:space="preserve"> - France</w:t>
            </w:r>
          </w:p>
        </w:tc>
        <w:tc>
          <w:tcPr>
            <w:tcW w:w="25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Turkey</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North-Africa</w:t>
            </w:r>
            <w:r w:rsidR="002742D9">
              <w:rPr>
                <w:rFonts w:eastAsia="Times New Roman" w:cstheme="minorHAnsi"/>
                <w:sz w:val="20"/>
                <w:szCs w:val="20"/>
                <w:lang w:val="en-US"/>
              </w:rPr>
              <w:t xml:space="preserve"> (</w:t>
            </w:r>
            <w:proofErr w:type="spellStart"/>
            <w:r w:rsidR="002742D9">
              <w:rPr>
                <w:rFonts w:eastAsia="Times New Roman" w:cstheme="minorHAnsi"/>
                <w:sz w:val="20"/>
                <w:szCs w:val="20"/>
                <w:lang w:val="en-US"/>
              </w:rPr>
              <w:t>Marocco</w:t>
            </w:r>
            <w:proofErr w:type="spellEnd"/>
            <w:r w:rsidR="002742D9">
              <w:rPr>
                <w:rFonts w:eastAsia="Times New Roman" w:cstheme="minorHAnsi"/>
                <w:sz w:val="20"/>
                <w:szCs w:val="20"/>
                <w:lang w:val="en-US"/>
              </w:rPr>
              <w:t>, Tunisia, Algeria)</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B85AA6" w:rsidP="00345F86">
            <w:pPr>
              <w:spacing w:after="0"/>
              <w:rPr>
                <w:rFonts w:eastAsia="Times New Roman" w:cstheme="minorHAnsi"/>
                <w:sz w:val="20"/>
                <w:szCs w:val="20"/>
                <w:lang w:val="en-US"/>
              </w:rPr>
            </w:pPr>
            <w:r>
              <w:rPr>
                <w:rFonts w:eastAsia="Times New Roman" w:cstheme="minorHAnsi"/>
                <w:sz w:val="20"/>
                <w:szCs w:val="20"/>
                <w:lang w:val="en-US"/>
              </w:rPr>
              <w:t>Sub-Saharan Africa</w:t>
            </w:r>
            <w:r w:rsidR="002742D9">
              <w:rPr>
                <w:rFonts w:eastAsia="Times New Roman" w:cstheme="minorHAnsi"/>
                <w:sz w:val="20"/>
                <w:szCs w:val="20"/>
                <w:lang w:val="en-US"/>
              </w:rPr>
              <w:t xml:space="preserve"> (Niger, Mauritania, Ivory Coast, French Sudan, Senegal, Chad, Gabon, Cameroon, Congo)</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None</w:t>
            </w:r>
          </w:p>
        </w:tc>
      </w:tr>
      <w:tr w:rsidR="00E13C57" w:rsidRPr="00A86562" w:rsidTr="001D5DFA">
        <w:trPr>
          <w:trHeight w:val="1053"/>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Religion</w:t>
            </w:r>
          </w:p>
        </w:tc>
        <w:tc>
          <w:tcPr>
            <w:tcW w:w="254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Calibri" w:cstheme="minorHAnsi"/>
                <w:color w:val="000000" w:themeColor="dark1"/>
                <w:kern w:val="24"/>
                <w:sz w:val="20"/>
                <w:szCs w:val="20"/>
                <w:lang w:val="en-US"/>
              </w:rPr>
              <w:t>“Practices Islam”</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Calibri" w:cstheme="minorHAnsi"/>
                <w:color w:val="000000" w:themeColor="dark1"/>
                <w:kern w:val="24"/>
                <w:sz w:val="20"/>
                <w:szCs w:val="20"/>
                <w:lang w:val="en-US"/>
              </w:rPr>
              <w:t>“Practices Christianity”</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Calibri" w:cstheme="minorHAnsi"/>
                <w:color w:val="000000" w:themeColor="dark1"/>
                <w:kern w:val="24"/>
                <w:sz w:val="20"/>
                <w:szCs w:val="20"/>
                <w:lang w:val="en-US"/>
              </w:rPr>
              <w:t>“Does not practice any religion”</w:t>
            </w: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r>
      <w:tr w:rsidR="00B85AA6" w:rsidRPr="00A86562"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B85AA6" w:rsidP="00345F86">
            <w:pPr>
              <w:spacing w:after="0"/>
              <w:rPr>
                <w:rFonts w:ascii="Arial" w:eastAsia="Times New Roman" w:hAnsi="Arial" w:cs="Arial"/>
                <w:sz w:val="36"/>
                <w:szCs w:val="36"/>
                <w:lang w:val="en-US"/>
              </w:rPr>
            </w:pPr>
            <w:r>
              <w:rPr>
                <w:rFonts w:eastAsia="Times New Roman" w:hAnsi="Calibri" w:cs="Calibri"/>
                <w:b/>
                <w:bCs/>
                <w:color w:val="FFFFFF" w:themeColor="light1"/>
                <w:kern w:val="24"/>
                <w:sz w:val="32"/>
                <w:szCs w:val="32"/>
                <w:lang w:val="en-US"/>
              </w:rPr>
              <w:t>Economic dimension</w:t>
            </w:r>
          </w:p>
        </w:tc>
        <w:tc>
          <w:tcPr>
            <w:tcW w:w="2544"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B85AA6" w:rsidP="00E13C57">
            <w:pPr>
              <w:spacing w:after="0"/>
              <w:rPr>
                <w:rFonts w:eastAsia="Times New Roman" w:cstheme="minorHAnsi"/>
                <w:sz w:val="20"/>
                <w:szCs w:val="20"/>
                <w:lang w:val="en-US"/>
              </w:rPr>
            </w:pPr>
            <w:r w:rsidRPr="00345F86">
              <w:rPr>
                <w:rFonts w:eastAsia="Calibri" w:cstheme="minorHAnsi"/>
                <w:color w:val="000000" w:themeColor="dark1"/>
                <w:kern w:val="24"/>
                <w:sz w:val="20"/>
                <w:szCs w:val="20"/>
                <w:lang w:val="en-US"/>
              </w:rPr>
              <w:t>For</w:t>
            </w:r>
            <w:r>
              <w:rPr>
                <w:rFonts w:eastAsia="Calibri" w:cstheme="minorHAnsi"/>
                <w:color w:val="000000" w:themeColor="dark1"/>
                <w:kern w:val="24"/>
                <w:sz w:val="20"/>
                <w:szCs w:val="20"/>
                <w:lang w:val="en-US"/>
              </w:rPr>
              <w:t xml:space="preserve"> statement</w:t>
            </w:r>
            <w:r w:rsidRPr="00345F86">
              <w:rPr>
                <w:rFonts w:eastAsia="Calibri" w:cstheme="minorHAnsi"/>
                <w:color w:val="000000" w:themeColor="dark1"/>
                <w:kern w:val="24"/>
                <w:sz w:val="20"/>
                <w:szCs w:val="20"/>
                <w:lang w:val="en-US"/>
              </w:rPr>
              <w:t xml:space="preserve"> </w:t>
            </w:r>
            <w:r w:rsidR="00E13C57">
              <w:rPr>
                <w:rFonts w:eastAsia="Calibri" w:cstheme="minorHAnsi"/>
                <w:color w:val="000000" w:themeColor="dark1"/>
                <w:kern w:val="24"/>
                <w:sz w:val="20"/>
                <w:szCs w:val="20"/>
                <w:lang w:val="en-US"/>
              </w:rPr>
              <w:t xml:space="preserve">on </w:t>
            </w:r>
            <w:r w:rsidRPr="00345F86">
              <w:rPr>
                <w:rFonts w:eastAsia="Calibri" w:cstheme="minorHAnsi"/>
                <w:color w:val="000000" w:themeColor="dark1"/>
                <w:kern w:val="24"/>
                <w:sz w:val="20"/>
                <w:szCs w:val="20"/>
                <w:lang w:val="en-US"/>
              </w:rPr>
              <w:t>re</w:t>
            </w:r>
            <w:r w:rsidR="00E13C57">
              <w:rPr>
                <w:rFonts w:eastAsia="Calibri" w:cstheme="minorHAnsi"/>
                <w:color w:val="000000" w:themeColor="dark1"/>
                <w:kern w:val="24"/>
                <w:sz w:val="20"/>
                <w:szCs w:val="20"/>
                <w:lang w:val="en-US"/>
              </w:rPr>
              <w:t>distribution, income inequality or</w:t>
            </w:r>
            <w:r w:rsidRPr="00345F86">
              <w:rPr>
                <w:rFonts w:eastAsia="Calibri" w:cstheme="minorHAnsi"/>
                <w:color w:val="000000" w:themeColor="dark1"/>
                <w:kern w:val="24"/>
                <w:sz w:val="20"/>
                <w:szCs w:val="20"/>
                <w:lang w:val="en-US"/>
              </w:rPr>
              <w:t xml:space="preserve"> green energy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B85AA6" w:rsidP="00E13C57">
            <w:pPr>
              <w:spacing w:after="0"/>
              <w:rPr>
                <w:rFonts w:eastAsia="Times New Roman" w:cstheme="minorHAnsi"/>
                <w:sz w:val="20"/>
                <w:szCs w:val="20"/>
                <w:lang w:val="en-US"/>
              </w:rPr>
            </w:pPr>
            <w:r>
              <w:rPr>
                <w:rFonts w:eastAsia="Calibri" w:cstheme="minorHAnsi"/>
                <w:color w:val="000000" w:themeColor="dark1"/>
                <w:kern w:val="24"/>
                <w:sz w:val="20"/>
                <w:szCs w:val="20"/>
                <w:lang w:val="en-US"/>
              </w:rPr>
              <w:t>Against statement</w:t>
            </w:r>
            <w:r w:rsidRPr="00345F86">
              <w:rPr>
                <w:rFonts w:eastAsia="Calibri" w:cstheme="minorHAnsi"/>
                <w:color w:val="000000" w:themeColor="dark1"/>
                <w:kern w:val="24"/>
                <w:sz w:val="20"/>
                <w:szCs w:val="20"/>
                <w:lang w:val="en-US"/>
              </w:rPr>
              <w:t xml:space="preserve"> </w:t>
            </w:r>
            <w:r w:rsidR="00E13C57">
              <w:rPr>
                <w:rFonts w:eastAsia="Calibri" w:cstheme="minorHAnsi"/>
                <w:color w:val="000000" w:themeColor="dark1"/>
                <w:kern w:val="24"/>
                <w:sz w:val="20"/>
                <w:szCs w:val="20"/>
                <w:lang w:val="en-US"/>
              </w:rPr>
              <w:t xml:space="preserve">on </w:t>
            </w:r>
            <w:r w:rsidRPr="00345F86">
              <w:rPr>
                <w:rFonts w:eastAsia="Calibri" w:cstheme="minorHAnsi"/>
                <w:color w:val="000000" w:themeColor="dark1"/>
                <w:kern w:val="24"/>
                <w:sz w:val="20"/>
                <w:szCs w:val="20"/>
                <w:lang w:val="en-US"/>
              </w:rPr>
              <w:t>re</w:t>
            </w:r>
            <w:r w:rsidR="00E13C57">
              <w:rPr>
                <w:rFonts w:eastAsia="Calibri" w:cstheme="minorHAnsi"/>
                <w:color w:val="000000" w:themeColor="dark1"/>
                <w:kern w:val="24"/>
                <w:sz w:val="20"/>
                <w:szCs w:val="20"/>
                <w:lang w:val="en-US"/>
              </w:rPr>
              <w:t>distribution, income inequality or</w:t>
            </w:r>
            <w:r w:rsidRPr="00345F86">
              <w:rPr>
                <w:rFonts w:eastAsia="Calibri" w:cstheme="minorHAnsi"/>
                <w:color w:val="000000" w:themeColor="dark1"/>
                <w:kern w:val="24"/>
                <w:sz w:val="20"/>
                <w:szCs w:val="20"/>
                <w:lang w:val="en-US"/>
              </w:rPr>
              <w:t xml:space="preserve"> green energy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c>
          <w:tcPr>
            <w:tcW w:w="1842"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r>
      <w:tr w:rsidR="00B85AA6" w:rsidRPr="00A86562"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B85AA6" w:rsidRPr="00345F86" w:rsidRDefault="00B85AA6" w:rsidP="00345F86">
            <w:pPr>
              <w:spacing w:after="0"/>
              <w:rPr>
                <w:rFonts w:eastAsia="Times New Roman" w:hAnsi="Calibri" w:cs="Calibri"/>
                <w:b/>
                <w:bCs/>
                <w:color w:val="FFFFFF" w:themeColor="light1"/>
                <w:kern w:val="24"/>
                <w:sz w:val="32"/>
                <w:szCs w:val="32"/>
                <w:lang w:val="en-US"/>
              </w:rPr>
            </w:pPr>
            <w:r>
              <w:rPr>
                <w:rFonts w:eastAsia="Times New Roman" w:hAnsi="Calibri" w:cs="Calibri"/>
                <w:b/>
                <w:bCs/>
                <w:color w:val="FFFFFF" w:themeColor="light1"/>
                <w:kern w:val="24"/>
                <w:sz w:val="32"/>
                <w:szCs w:val="32"/>
                <w:lang w:val="en-US"/>
              </w:rPr>
              <w:t>Cultural dimension</w:t>
            </w:r>
          </w:p>
        </w:tc>
        <w:tc>
          <w:tcPr>
            <w:tcW w:w="2544"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E13C57">
            <w:pPr>
              <w:spacing w:after="0"/>
              <w:rPr>
                <w:rFonts w:eastAsia="Calibri" w:cstheme="minorHAnsi"/>
                <w:color w:val="000000" w:themeColor="dark1"/>
                <w:kern w:val="24"/>
                <w:sz w:val="20"/>
                <w:szCs w:val="20"/>
                <w:lang w:val="en-US"/>
              </w:rPr>
            </w:pPr>
            <w:r>
              <w:rPr>
                <w:rFonts w:eastAsia="Times New Roman" w:cstheme="minorHAnsi"/>
                <w:color w:val="000000" w:themeColor="dark1"/>
                <w:kern w:val="24"/>
                <w:sz w:val="20"/>
                <w:szCs w:val="20"/>
                <w:lang w:val="en-US"/>
              </w:rPr>
              <w:t xml:space="preserve">For statement </w:t>
            </w:r>
            <w:r w:rsidR="00E13C57">
              <w:rPr>
                <w:rFonts w:eastAsia="Times New Roman" w:cstheme="minorHAnsi"/>
                <w:color w:val="000000" w:themeColor="dark1"/>
                <w:kern w:val="24"/>
                <w:sz w:val="20"/>
                <w:szCs w:val="20"/>
                <w:lang w:val="en-US"/>
              </w:rPr>
              <w:t>on immigration, gender or sexuality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E13C57">
            <w:pPr>
              <w:spacing w:after="0"/>
              <w:rPr>
                <w:rFonts w:eastAsia="Times New Roman" w:cstheme="minorHAnsi"/>
                <w:color w:val="000000" w:themeColor="dark1"/>
                <w:kern w:val="24"/>
                <w:sz w:val="20"/>
                <w:szCs w:val="20"/>
                <w:lang w:val="en-US"/>
              </w:rPr>
            </w:pPr>
            <w:r>
              <w:rPr>
                <w:rFonts w:eastAsia="Times New Roman" w:cstheme="minorHAnsi"/>
                <w:color w:val="000000" w:themeColor="dark1"/>
                <w:kern w:val="24"/>
                <w:sz w:val="20"/>
                <w:szCs w:val="20"/>
                <w:lang w:val="en-US"/>
              </w:rPr>
              <w:t>Against</w:t>
            </w:r>
            <w:r w:rsidR="00E13C57">
              <w:rPr>
                <w:rFonts w:eastAsia="Times New Roman" w:cstheme="minorHAnsi"/>
                <w:color w:val="000000" w:themeColor="dark1"/>
                <w:kern w:val="24"/>
                <w:sz w:val="20"/>
                <w:szCs w:val="20"/>
                <w:lang w:val="en-US"/>
              </w:rPr>
              <w:t xml:space="preserve"> statement on </w:t>
            </w:r>
            <w:r w:rsidRPr="00345F86">
              <w:rPr>
                <w:rFonts w:eastAsia="Times New Roman" w:cstheme="minorHAnsi"/>
                <w:color w:val="000000" w:themeColor="dark1"/>
                <w:kern w:val="24"/>
                <w:sz w:val="20"/>
                <w:szCs w:val="20"/>
                <w:lang w:val="en-US"/>
              </w:rPr>
              <w:t>immigration, gender</w:t>
            </w:r>
            <w:r w:rsidR="00E13C57">
              <w:rPr>
                <w:rFonts w:eastAsia="Times New Roman" w:cstheme="minorHAnsi"/>
                <w:color w:val="000000" w:themeColor="dark1"/>
                <w:kern w:val="24"/>
                <w:sz w:val="20"/>
                <w:szCs w:val="20"/>
                <w:lang w:val="en-US"/>
              </w:rPr>
              <w:t xml:space="preserve"> or</w:t>
            </w:r>
            <w:r w:rsidRPr="00345F86">
              <w:rPr>
                <w:rFonts w:eastAsia="Times New Roman" w:cstheme="minorHAnsi"/>
                <w:color w:val="000000" w:themeColor="dark1"/>
                <w:kern w:val="24"/>
                <w:sz w:val="20"/>
                <w:szCs w:val="20"/>
                <w:lang w:val="en-US"/>
              </w:rPr>
              <w:t xml:space="preserve"> sexuality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345F86">
            <w:pPr>
              <w:spacing w:after="0"/>
              <w:rPr>
                <w:rFonts w:eastAsia="Times New Roman" w:cstheme="minorHAnsi"/>
                <w:color w:val="000000" w:themeColor="dark1"/>
                <w:kern w:val="24"/>
                <w:sz w:val="20"/>
                <w:szCs w:val="20"/>
                <w:lang w:val="en-US"/>
              </w:rPr>
            </w:pPr>
          </w:p>
        </w:tc>
        <w:tc>
          <w:tcPr>
            <w:tcW w:w="1842"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345F86">
            <w:pPr>
              <w:spacing w:after="0"/>
              <w:rPr>
                <w:rFonts w:eastAsia="Times New Roman" w:cstheme="minorHAnsi"/>
                <w:color w:val="000000" w:themeColor="dark1"/>
                <w:kern w:val="24"/>
                <w:sz w:val="20"/>
                <w:szCs w:val="20"/>
                <w:lang w:val="en-US"/>
              </w:rPr>
            </w:pPr>
          </w:p>
        </w:tc>
      </w:tr>
    </w:tbl>
    <w:p w:rsidR="00E13C57" w:rsidRPr="00125709" w:rsidRDefault="00E13C57" w:rsidP="00125709">
      <w:pPr>
        <w:rPr>
          <w:lang w:val="en-US"/>
        </w:rPr>
      </w:pPr>
      <w:bookmarkStart w:id="0" w:name="_GoBack"/>
      <w:bookmarkEnd w:id="0"/>
    </w:p>
    <w:sectPr w:rsidR="00E13C57" w:rsidRPr="001257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97" w:rsidRDefault="00130197" w:rsidP="00727964">
      <w:pPr>
        <w:spacing w:after="0" w:line="240" w:lineRule="auto"/>
      </w:pPr>
      <w:r>
        <w:separator/>
      </w:r>
    </w:p>
  </w:endnote>
  <w:endnote w:type="continuationSeparator" w:id="0">
    <w:p w:rsidR="00130197" w:rsidRDefault="00130197" w:rsidP="0072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97" w:rsidRDefault="00130197" w:rsidP="00727964">
      <w:pPr>
        <w:spacing w:after="0" w:line="240" w:lineRule="auto"/>
      </w:pPr>
      <w:r>
        <w:separator/>
      </w:r>
    </w:p>
  </w:footnote>
  <w:footnote w:type="continuationSeparator" w:id="0">
    <w:p w:rsidR="00130197" w:rsidRDefault="00130197" w:rsidP="00727964">
      <w:pPr>
        <w:spacing w:after="0" w:line="240" w:lineRule="auto"/>
      </w:pPr>
      <w:r>
        <w:continuationSeparator/>
      </w:r>
    </w:p>
  </w:footnote>
  <w:footnote w:id="1">
    <w:p w:rsidR="00D976CD" w:rsidRDefault="00D976CD" w:rsidP="00D976CD">
      <w:pPr>
        <w:pStyle w:val="FootnoteText"/>
        <w:rPr>
          <w:lang w:val="en-US"/>
        </w:rPr>
      </w:pPr>
      <w:r>
        <w:rPr>
          <w:rStyle w:val="FootnoteReference"/>
        </w:rPr>
        <w:footnoteRef/>
      </w:r>
      <w:r>
        <w:rPr>
          <w:lang w:val="en-US"/>
        </w:rPr>
        <w:t xml:space="preserve"> Since this incident, the research by </w:t>
      </w:r>
      <w:proofErr w:type="spellStart"/>
      <w:r>
        <w:rPr>
          <w:lang w:val="en-US"/>
        </w:rPr>
        <w:t>Motivaction</w:t>
      </w:r>
      <w:proofErr w:type="spellEnd"/>
      <w:r>
        <w:rPr>
          <w:lang w:val="en-US"/>
        </w:rPr>
        <w:t xml:space="preserve"> was placed under great scrutiny, repeated by the SCP, but without the results being replicated and subsequently retracted </w:t>
      </w:r>
      <w:r>
        <w:rPr>
          <w:lang w:val="en-US"/>
        </w:rPr>
        <w:fldChar w:fldCharType="begin" w:fldLock="1"/>
      </w:r>
      <w:r>
        <w:rPr>
          <w:lang w:val="en-US"/>
        </w:rPr>
        <w:instrText>ADDIN CSL_CITATION {"citationItems":[{"id":"ITEM-1","itemData":{"author":[{"dropping-particle":"","family":"Huijnk","given":"Willem","non-dropping-particle":"","parse-names":false,"suffix":""},{"dropping-particle":"","family":"Dagevos","given":"Jaco","non-dropping-particle":"","parse-names":false,"suffix":""},{"dropping-particle":"","family":"Gijsberts","given":"Mérove","non-dropping-particle":"","parse-names":false,"suffix":""},{"dropping-particle":"","family":"Andriessen","given":"Iris","non-dropping-particle":"","parse-names":false,"suffix":""}],"id":"ITEM-1","issued":{"date-parts":[["2015"]]},"title":"Werelden van verschil. Over de sociaal-culturele afstand en positie van migrantengroepen in Nederland","type":"report"},"uris":["http://www.mendeley.com/documents/?uuid=1d246cd3-ea89-495f-9fce-8878e411b207","http://www.mendeley.com/documents/?uuid=430238b3-34c9-4191-a3ef-d4927abcf7ae"]}],"mendeley":{"formattedCitation":"(Huijnk, Dagevos, Gijsberts, &amp; Andriessen, 2015)","plainTextFormattedCitation":"(Huijnk, Dagevos, Gijsberts, &amp; Andriessen, 2015)","previouslyFormattedCitation":"(Huijnk, Dagevos, Gijsberts, &amp; Andriessen, 2015)"},"properties":{"noteIndex":0},"schema":"https://github.com/citation-style-language/schema/raw/master/csl-citation.json"}</w:instrText>
      </w:r>
      <w:r>
        <w:rPr>
          <w:lang w:val="en-US"/>
        </w:rPr>
        <w:fldChar w:fldCharType="separate"/>
      </w:r>
      <w:r>
        <w:rPr>
          <w:noProof/>
          <w:lang w:val="en-US"/>
        </w:rPr>
        <w:t>(Huijnk, Dagevos, Gijsberts, &amp; Andriessen, 2015)</w:t>
      </w:r>
      <w:r>
        <w:rPr>
          <w:lang w:val="en-US"/>
        </w:rPr>
        <w:fldChar w:fldCharType="end"/>
      </w:r>
      <w:r>
        <w:rPr>
          <w:lang w:val="en-US"/>
        </w:rPr>
        <w:t>.</w:t>
      </w:r>
    </w:p>
  </w:footnote>
  <w:footnote w:id="2">
    <w:p w:rsidR="00D976CD" w:rsidRDefault="00D976CD" w:rsidP="00D976CD">
      <w:pPr>
        <w:pStyle w:val="FootnoteText"/>
        <w:rPr>
          <w:lang w:val="en-US"/>
        </w:rPr>
      </w:pPr>
      <w:r>
        <w:rPr>
          <w:rStyle w:val="FootnoteReference"/>
        </w:rPr>
        <w:footnoteRef/>
      </w:r>
      <w:r>
        <w:rPr>
          <w:lang w:val="en-US"/>
        </w:rPr>
        <w:t xml:space="preserve"> DENK means </w:t>
      </w:r>
      <w:r>
        <w:rPr>
          <w:i/>
          <w:lang w:val="en-US"/>
        </w:rPr>
        <w:t>equality</w:t>
      </w:r>
      <w:r>
        <w:rPr>
          <w:lang w:val="en-US"/>
        </w:rPr>
        <w:t xml:space="preserve"> in Turkish and </w:t>
      </w:r>
      <w:r>
        <w:rPr>
          <w:i/>
          <w:lang w:val="en-US"/>
        </w:rPr>
        <w:t xml:space="preserve">think </w:t>
      </w:r>
      <w:r>
        <w:rPr>
          <w:lang w:val="en-US"/>
        </w:rPr>
        <w:t>in Dutch.</w:t>
      </w:r>
    </w:p>
  </w:footnote>
  <w:footnote w:id="3">
    <w:p w:rsidR="00D976CD" w:rsidRDefault="00D976CD" w:rsidP="00D976CD">
      <w:pPr>
        <w:pStyle w:val="FootnoteText"/>
        <w:rPr>
          <w:lang w:val="en-US"/>
        </w:rPr>
      </w:pPr>
      <w:r>
        <w:rPr>
          <w:rStyle w:val="FootnoteReference"/>
        </w:rPr>
        <w:footnoteRef/>
      </w:r>
      <w:r>
        <w:rPr>
          <w:lang w:val="en-US"/>
        </w:rPr>
        <w:t xml:space="preserve"> In comparison, despite being a sizeable portion of society, there is not a single representative in the Dutch parliament with a Surinamese or Antillean background </w:t>
      </w:r>
      <w:r>
        <w:rPr>
          <w:lang w:val="en-US"/>
        </w:rPr>
        <w:fldChar w:fldCharType="begin" w:fldLock="1"/>
      </w:r>
      <w:r>
        <w:rPr>
          <w:lang w:val="en-US"/>
        </w:rPr>
        <w:instrText>ADDIN CSL_CITATION {"citationItems":[{"id":"ITEM-1","itemData":{"author":[{"dropping-particle":"","family":"Mügge","given":"Liza","non-dropping-particle":"","parse-names":false,"suffix":""},{"dropping-particle":"","family":"Stigt","given":"Arwen","non-dropping-particle":"Van","parse-names":false,"suffix":""}],"container-title":"Stuk Rood Vlees","id":"ITEM-1","issued":{"date-parts":[["2017"]]},"title":"Implosie van de PvdA schaadt diversiteit in de Tweede Kamer","type":"webpage"},"uris":["http://www.mendeley.com/documents/?uuid=ed0abf73-7953-4cc8-84ac-da6106134ee2","http://www.mendeley.com/documents/?uuid=d5618c7d-c843-40fe-950d-482313ada9e3"]}],"mendeley":{"formattedCitation":"(Liza Mügge &amp; Van Stigt, 2017)","manualFormatting":"(Mügge &amp; Van Stigt, 2017)","plainTextFormattedCitation":"(Liza Mügge &amp; Van Stigt, 2017)","previouslyFormattedCitation":"(Liza Mügge &amp; Van Stigt, 2017)"},"properties":{"noteIndex":0},"schema":"https://github.com/citation-style-language/schema/raw/master/csl-citation.json"}</w:instrText>
      </w:r>
      <w:r>
        <w:rPr>
          <w:lang w:val="en-US"/>
        </w:rPr>
        <w:fldChar w:fldCharType="separate"/>
      </w:r>
      <w:r>
        <w:rPr>
          <w:noProof/>
          <w:lang w:val="en-US"/>
        </w:rPr>
        <w:t>(Mügge &amp; Van Stigt, 2017)</w:t>
      </w:r>
      <w:r>
        <w:rPr>
          <w:lang w:val="en-US"/>
        </w:rPr>
        <w:fldChar w:fldCharType="end"/>
      </w:r>
      <w:r>
        <w:rPr>
          <w:lang w:val="en-US"/>
        </w:rPr>
        <w:t xml:space="preserve">. Therefore, in this group the feeling of representation is likely to be even more distant. </w:t>
      </w:r>
    </w:p>
  </w:footnote>
  <w:footnote w:id="4">
    <w:p w:rsidR="00D976CD" w:rsidRDefault="00D976CD" w:rsidP="00D976CD">
      <w:pPr>
        <w:pStyle w:val="FootnoteText"/>
        <w:rPr>
          <w:lang w:val="en-US"/>
        </w:rPr>
      </w:pPr>
      <w:r>
        <w:rPr>
          <w:rStyle w:val="FootnoteReference"/>
        </w:rPr>
        <w:footnoteRef/>
      </w:r>
      <w:r>
        <w:rPr>
          <w:lang w:val="en-US"/>
        </w:rPr>
        <w:t xml:space="preserve"> Although I believe a mixed-methods approach to this question from the perspective from the citizens is the most fruitful, I will research this question quantitatively. A yet to be hired post-doctoral researcher will research this question qualitatively through focus-group discussions, thus complementing my research with qualitative findings. In addition, the principal investigator of this project, Dr. Mügge, will study representation from the perspective of the politician. Together, these three strands of research complement each other and will bring forward new ideas and understanding as envisioned in the </w:t>
      </w:r>
      <w:proofErr w:type="spellStart"/>
      <w:r>
        <w:rPr>
          <w:lang w:val="en-US"/>
        </w:rPr>
        <w:t>vidi</w:t>
      </w:r>
      <w:proofErr w:type="spellEnd"/>
      <w:r>
        <w:rPr>
          <w:lang w:val="en-US"/>
        </w:rPr>
        <w:t xml:space="preserve">-proposal granted by the NWO </w:t>
      </w:r>
      <w:r>
        <w:rPr>
          <w:lang w:val="en-US"/>
        </w:rPr>
        <w:fldChar w:fldCharType="begin" w:fldLock="1"/>
      </w:r>
      <w:r>
        <w:rPr>
          <w:lang w:val="en-US"/>
        </w:rPr>
        <w:instrText>ADDIN CSL_CITATION {"citationItems":[{"id":"ITEM-1","itemData":{"abstract":"Please, treat confidentially. Do not circulate or quote without permission of the project leader. 1c. Summary of research proposal Ideal democracies should accommodate the full diversity of their citizenries. The follow-up assumption is that our elected representatives should mirror the ethnic make-up of the population: if there are enough \"German-Turks\" in the Bundestag, the Turkish minority is thought to be properly represented. But in fact, it is wrong to assume that citizens share interests and worldviews because their parents were born in the same country. Top-down ethnic pigeonholing of citizens and politicians distorts the enormous social diversity within groups and may thus create much less democratic enfranchisement than we would hope. Misrepresenting Diversity? provides a bottom-up analysis of the mechanisms that drive representation in ethnically diverse societies. It breaks with scholarly and political practice by empirically investigating how citizens and politicians themselves experience diversity in politics and fill it with life. It reverses the usual telescope: instead of assuming that we can read people's identities from their birth certificates, it researches how and with whom politicians and citizens identify, and how they give meaning to their backgrounds. The project examines four sources of variation to understand representational politics: personal experiences with minority identity, migration histories, political party ideologies, and the way identity politics is encouraged or discouraged by national integration regimes. It studies three West-European immigration countries: France, Germany and the Netherlands, which all hold elections in 2017. This allows tracing representation for one full election cycle. Breaking the qualitative-quantitative divide, I apply an original methods-combination to uncover systematic patterns while appreciating case-specific idiosyncrasies. This project will generate a new, empirically grounded theory of political representation and identity. It is the first study to compare minority citizens and politicians' expectations and assessments of representation. The greater the gap, the lower the quality of a democracy. Understanding how political representation actually works for minorities is therefore indispensable for its viability. 1d. Keywords Political representation; political equality; ethnic diversity; gender; intersectionality 2a1 and 2a2. Description of the proposed research","author":[{"dropping-particle":"","family":"Mügge","given":"Liza","non-dropping-particle":"","parse-names":false,"suffix":""}],"id":"ITEM-1","issued":{"date-parts":[["2017"]]},"title":"Misrepresenting Diversity? How personal identities clash with ethnic pigeonholing in politics (Research proposal)","type":"report"},"uris":["http://www.mendeley.com/documents/?uuid=ea6131ba-db2f-410d-b34f-9f9d2f1f20d9","http://www.mendeley.com/documents/?uuid=7ac9c463-e981-41ea-a9b7-b336059e8dbb"]}],"mendeley":{"formattedCitation":"(Liza Mügge, 2017)","manualFormatting":"(Mügge, 2017)","plainTextFormattedCitation":"(Liza Mügge, 2017)","previouslyFormattedCitation":"(Liza Mügge, 2017)"},"properties":{"noteIndex":0},"schema":"https://github.com/citation-style-language/schema/raw/master/csl-citation.json"}</w:instrText>
      </w:r>
      <w:r>
        <w:rPr>
          <w:lang w:val="en-US"/>
        </w:rPr>
        <w:fldChar w:fldCharType="separate"/>
      </w:r>
      <w:r>
        <w:rPr>
          <w:noProof/>
          <w:lang w:val="en-US"/>
        </w:rPr>
        <w:t>(Mügge, 2017)</w:t>
      </w:r>
      <w:r>
        <w:rPr>
          <w:lang w:val="en-US"/>
        </w:rPr>
        <w:fldChar w:fldCharType="end"/>
      </w:r>
      <w:r>
        <w:rPr>
          <w:lang w:val="en-US"/>
        </w:rPr>
        <w:t xml:space="preserve">. </w:t>
      </w:r>
    </w:p>
  </w:footnote>
  <w:footnote w:id="5">
    <w:p w:rsidR="002A3C52" w:rsidRDefault="002A3C52" w:rsidP="002A3C52">
      <w:pPr>
        <w:pStyle w:val="FootnoteText"/>
        <w:rPr>
          <w:lang w:val="en-US"/>
        </w:rPr>
      </w:pPr>
      <w:r>
        <w:rPr>
          <w:rStyle w:val="FootnoteReference"/>
        </w:rPr>
        <w:footnoteRef/>
      </w:r>
      <w:r>
        <w:rPr>
          <w:lang w:val="en-US"/>
        </w:rPr>
        <w:t xml:space="preserve"> We are still in discussing the options with a number of research agencies.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052"/>
    <w:multiLevelType w:val="hybridMultilevel"/>
    <w:tmpl w:val="2AA6A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04718"/>
    <w:multiLevelType w:val="hybridMultilevel"/>
    <w:tmpl w:val="F248557A"/>
    <w:lvl w:ilvl="0" w:tplc="0409000F">
      <w:start w:val="1"/>
      <w:numFmt w:val="decimal"/>
      <w:lvlText w:val="%1."/>
      <w:lvlJc w:val="left"/>
      <w:pPr>
        <w:ind w:left="720" w:hanging="360"/>
      </w:pPr>
      <w:rPr>
        <w:rFonts w:hint="default"/>
      </w:rPr>
    </w:lvl>
    <w:lvl w:ilvl="1" w:tplc="B0DA389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35F8"/>
    <w:multiLevelType w:val="hybridMultilevel"/>
    <w:tmpl w:val="A5A4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D3E21"/>
    <w:multiLevelType w:val="hybridMultilevel"/>
    <w:tmpl w:val="99B4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57211"/>
    <w:multiLevelType w:val="hybridMultilevel"/>
    <w:tmpl w:val="AF68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97264"/>
    <w:multiLevelType w:val="hybridMultilevel"/>
    <w:tmpl w:val="7B584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416E5"/>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926E0"/>
    <w:multiLevelType w:val="hybridMultilevel"/>
    <w:tmpl w:val="9076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36259"/>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0630F"/>
    <w:multiLevelType w:val="hybridMultilevel"/>
    <w:tmpl w:val="B162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F60CF"/>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34BB5"/>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B7D26"/>
    <w:multiLevelType w:val="hybridMultilevel"/>
    <w:tmpl w:val="9076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5233D"/>
    <w:multiLevelType w:val="hybridMultilevel"/>
    <w:tmpl w:val="32707E70"/>
    <w:lvl w:ilvl="0" w:tplc="7ABAD4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B6112F"/>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A879E1"/>
    <w:multiLevelType w:val="hybridMultilevel"/>
    <w:tmpl w:val="B20A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10428"/>
    <w:multiLevelType w:val="hybridMultilevel"/>
    <w:tmpl w:val="9F12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93633"/>
    <w:multiLevelType w:val="hybridMultilevel"/>
    <w:tmpl w:val="FA0E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165C7"/>
    <w:multiLevelType w:val="hybridMultilevel"/>
    <w:tmpl w:val="EADA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B44F3"/>
    <w:multiLevelType w:val="hybridMultilevel"/>
    <w:tmpl w:val="9D3EE92A"/>
    <w:lvl w:ilvl="0" w:tplc="9E48D6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7"/>
  </w:num>
  <w:num w:numId="5">
    <w:abstractNumId w:val="8"/>
  </w:num>
  <w:num w:numId="6">
    <w:abstractNumId w:val="19"/>
  </w:num>
  <w:num w:numId="7">
    <w:abstractNumId w:val="14"/>
  </w:num>
  <w:num w:numId="8">
    <w:abstractNumId w:val="6"/>
  </w:num>
  <w:num w:numId="9">
    <w:abstractNumId w:val="10"/>
  </w:num>
  <w:num w:numId="10">
    <w:abstractNumId w:val="1"/>
  </w:num>
  <w:num w:numId="11">
    <w:abstractNumId w:val="9"/>
  </w:num>
  <w:num w:numId="12">
    <w:abstractNumId w:val="16"/>
  </w:num>
  <w:num w:numId="13">
    <w:abstractNumId w:val="15"/>
  </w:num>
  <w:num w:numId="14">
    <w:abstractNumId w:val="2"/>
  </w:num>
  <w:num w:numId="15">
    <w:abstractNumId w:val="0"/>
  </w:num>
  <w:num w:numId="16">
    <w:abstractNumId w:val="5"/>
  </w:num>
  <w:num w:numId="17">
    <w:abstractNumId w:val="3"/>
  </w:num>
  <w:num w:numId="18">
    <w:abstractNumId w:val="1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86"/>
    <w:rsid w:val="000011B0"/>
    <w:rsid w:val="00017A4C"/>
    <w:rsid w:val="00022F45"/>
    <w:rsid w:val="00031478"/>
    <w:rsid w:val="00061194"/>
    <w:rsid w:val="00065C56"/>
    <w:rsid w:val="00067C64"/>
    <w:rsid w:val="000846A2"/>
    <w:rsid w:val="000D3810"/>
    <w:rsid w:val="000D7261"/>
    <w:rsid w:val="000F099A"/>
    <w:rsid w:val="000F34D5"/>
    <w:rsid w:val="00107970"/>
    <w:rsid w:val="001145F9"/>
    <w:rsid w:val="00120376"/>
    <w:rsid w:val="001215D1"/>
    <w:rsid w:val="00121ECA"/>
    <w:rsid w:val="00125709"/>
    <w:rsid w:val="00130197"/>
    <w:rsid w:val="00135F41"/>
    <w:rsid w:val="00145A48"/>
    <w:rsid w:val="001520D0"/>
    <w:rsid w:val="001547E8"/>
    <w:rsid w:val="001579FE"/>
    <w:rsid w:val="00162613"/>
    <w:rsid w:val="0016768A"/>
    <w:rsid w:val="00172467"/>
    <w:rsid w:val="001946C9"/>
    <w:rsid w:val="001A4F68"/>
    <w:rsid w:val="001B64A1"/>
    <w:rsid w:val="001C6995"/>
    <w:rsid w:val="001D0197"/>
    <w:rsid w:val="001D5DFA"/>
    <w:rsid w:val="001D7758"/>
    <w:rsid w:val="001D7DFB"/>
    <w:rsid w:val="001E10D1"/>
    <w:rsid w:val="001F40F6"/>
    <w:rsid w:val="00206C07"/>
    <w:rsid w:val="00211008"/>
    <w:rsid w:val="00216061"/>
    <w:rsid w:val="002224E5"/>
    <w:rsid w:val="00240D97"/>
    <w:rsid w:val="002422B4"/>
    <w:rsid w:val="002565B8"/>
    <w:rsid w:val="00266162"/>
    <w:rsid w:val="002669CD"/>
    <w:rsid w:val="00267936"/>
    <w:rsid w:val="00271E4F"/>
    <w:rsid w:val="0027284D"/>
    <w:rsid w:val="002732D7"/>
    <w:rsid w:val="002742D9"/>
    <w:rsid w:val="0028530F"/>
    <w:rsid w:val="00285F25"/>
    <w:rsid w:val="002A0475"/>
    <w:rsid w:val="002A3C52"/>
    <w:rsid w:val="002A3EA2"/>
    <w:rsid w:val="002A582D"/>
    <w:rsid w:val="002A75CD"/>
    <w:rsid w:val="002A7FE3"/>
    <w:rsid w:val="002B2CE2"/>
    <w:rsid w:val="002B32F1"/>
    <w:rsid w:val="002B51A3"/>
    <w:rsid w:val="002B62F2"/>
    <w:rsid w:val="002C3797"/>
    <w:rsid w:val="002E30EF"/>
    <w:rsid w:val="002F1FCC"/>
    <w:rsid w:val="002F6812"/>
    <w:rsid w:val="0030794C"/>
    <w:rsid w:val="0031079F"/>
    <w:rsid w:val="00311327"/>
    <w:rsid w:val="00321EE6"/>
    <w:rsid w:val="00322CF8"/>
    <w:rsid w:val="00337D75"/>
    <w:rsid w:val="00345F86"/>
    <w:rsid w:val="003516DF"/>
    <w:rsid w:val="00362CD9"/>
    <w:rsid w:val="003671B2"/>
    <w:rsid w:val="00367655"/>
    <w:rsid w:val="00372396"/>
    <w:rsid w:val="00372971"/>
    <w:rsid w:val="003766D4"/>
    <w:rsid w:val="00376BA1"/>
    <w:rsid w:val="00383D47"/>
    <w:rsid w:val="00387317"/>
    <w:rsid w:val="00392959"/>
    <w:rsid w:val="00395B51"/>
    <w:rsid w:val="003A358B"/>
    <w:rsid w:val="003B0251"/>
    <w:rsid w:val="003C2729"/>
    <w:rsid w:val="003D403E"/>
    <w:rsid w:val="00414528"/>
    <w:rsid w:val="00427905"/>
    <w:rsid w:val="00437A36"/>
    <w:rsid w:val="004535E8"/>
    <w:rsid w:val="00475D3F"/>
    <w:rsid w:val="004842BB"/>
    <w:rsid w:val="00485880"/>
    <w:rsid w:val="0049286C"/>
    <w:rsid w:val="00496EEA"/>
    <w:rsid w:val="00497877"/>
    <w:rsid w:val="004A17FD"/>
    <w:rsid w:val="004A6A1D"/>
    <w:rsid w:val="004D5EC1"/>
    <w:rsid w:val="004E6E68"/>
    <w:rsid w:val="00502C65"/>
    <w:rsid w:val="0050378B"/>
    <w:rsid w:val="00511E72"/>
    <w:rsid w:val="00512D4B"/>
    <w:rsid w:val="00512F6A"/>
    <w:rsid w:val="00513C4E"/>
    <w:rsid w:val="00517B98"/>
    <w:rsid w:val="00517EAD"/>
    <w:rsid w:val="00521D49"/>
    <w:rsid w:val="00530FB7"/>
    <w:rsid w:val="00532374"/>
    <w:rsid w:val="0053260A"/>
    <w:rsid w:val="00533B66"/>
    <w:rsid w:val="0053575D"/>
    <w:rsid w:val="005413DB"/>
    <w:rsid w:val="00546981"/>
    <w:rsid w:val="0055162C"/>
    <w:rsid w:val="0057179A"/>
    <w:rsid w:val="00573410"/>
    <w:rsid w:val="00576D2E"/>
    <w:rsid w:val="005819BC"/>
    <w:rsid w:val="005836CF"/>
    <w:rsid w:val="00584FF3"/>
    <w:rsid w:val="00585AE0"/>
    <w:rsid w:val="00587DC7"/>
    <w:rsid w:val="00590D06"/>
    <w:rsid w:val="005913AE"/>
    <w:rsid w:val="00592A53"/>
    <w:rsid w:val="005A0DDE"/>
    <w:rsid w:val="005A2693"/>
    <w:rsid w:val="005A61EF"/>
    <w:rsid w:val="005A783C"/>
    <w:rsid w:val="005C23AF"/>
    <w:rsid w:val="005C3C65"/>
    <w:rsid w:val="005C4111"/>
    <w:rsid w:val="005D461F"/>
    <w:rsid w:val="005E4F93"/>
    <w:rsid w:val="005F04DB"/>
    <w:rsid w:val="005F1892"/>
    <w:rsid w:val="005F4883"/>
    <w:rsid w:val="00604D19"/>
    <w:rsid w:val="00605CDA"/>
    <w:rsid w:val="00612740"/>
    <w:rsid w:val="00614320"/>
    <w:rsid w:val="006211E0"/>
    <w:rsid w:val="006217EA"/>
    <w:rsid w:val="00623CEC"/>
    <w:rsid w:val="00641830"/>
    <w:rsid w:val="0064523E"/>
    <w:rsid w:val="00664E6B"/>
    <w:rsid w:val="00680040"/>
    <w:rsid w:val="00682C28"/>
    <w:rsid w:val="00692E23"/>
    <w:rsid w:val="006A5023"/>
    <w:rsid w:val="006A540D"/>
    <w:rsid w:val="006B02D3"/>
    <w:rsid w:val="006C0DC8"/>
    <w:rsid w:val="006C44AD"/>
    <w:rsid w:val="006D6A94"/>
    <w:rsid w:val="006E6AE9"/>
    <w:rsid w:val="006F7D22"/>
    <w:rsid w:val="00701AC1"/>
    <w:rsid w:val="00713380"/>
    <w:rsid w:val="007221E5"/>
    <w:rsid w:val="007250C1"/>
    <w:rsid w:val="00727964"/>
    <w:rsid w:val="00773A5E"/>
    <w:rsid w:val="007756A3"/>
    <w:rsid w:val="00777CE8"/>
    <w:rsid w:val="0078228A"/>
    <w:rsid w:val="007A0C69"/>
    <w:rsid w:val="007A22CE"/>
    <w:rsid w:val="007B2F5A"/>
    <w:rsid w:val="007B5456"/>
    <w:rsid w:val="007C1521"/>
    <w:rsid w:val="007C7A89"/>
    <w:rsid w:val="007D014A"/>
    <w:rsid w:val="007D1065"/>
    <w:rsid w:val="007D79B5"/>
    <w:rsid w:val="007F0D8E"/>
    <w:rsid w:val="007F44F6"/>
    <w:rsid w:val="00803742"/>
    <w:rsid w:val="008163A2"/>
    <w:rsid w:val="0081722B"/>
    <w:rsid w:val="00825565"/>
    <w:rsid w:val="00830EF2"/>
    <w:rsid w:val="008314B7"/>
    <w:rsid w:val="00842491"/>
    <w:rsid w:val="0084466E"/>
    <w:rsid w:val="00857087"/>
    <w:rsid w:val="00862C3B"/>
    <w:rsid w:val="00866FE2"/>
    <w:rsid w:val="00873515"/>
    <w:rsid w:val="00885A19"/>
    <w:rsid w:val="00885F50"/>
    <w:rsid w:val="00887BCD"/>
    <w:rsid w:val="0089069F"/>
    <w:rsid w:val="00894C3D"/>
    <w:rsid w:val="00897991"/>
    <w:rsid w:val="008A70D9"/>
    <w:rsid w:val="008B3E3B"/>
    <w:rsid w:val="008C057F"/>
    <w:rsid w:val="008C0B3C"/>
    <w:rsid w:val="008C31EF"/>
    <w:rsid w:val="008D6151"/>
    <w:rsid w:val="008F3F04"/>
    <w:rsid w:val="008F656F"/>
    <w:rsid w:val="00913113"/>
    <w:rsid w:val="00961C26"/>
    <w:rsid w:val="00963538"/>
    <w:rsid w:val="00966E64"/>
    <w:rsid w:val="0097046B"/>
    <w:rsid w:val="00997338"/>
    <w:rsid w:val="009A1E28"/>
    <w:rsid w:val="009B3862"/>
    <w:rsid w:val="009B610B"/>
    <w:rsid w:val="009C5D52"/>
    <w:rsid w:val="009D0B44"/>
    <w:rsid w:val="009D120C"/>
    <w:rsid w:val="009D3882"/>
    <w:rsid w:val="009D6422"/>
    <w:rsid w:val="009D6E38"/>
    <w:rsid w:val="009E3579"/>
    <w:rsid w:val="009E7E3C"/>
    <w:rsid w:val="009F7E78"/>
    <w:rsid w:val="00A206F0"/>
    <w:rsid w:val="00A20912"/>
    <w:rsid w:val="00A2394F"/>
    <w:rsid w:val="00A30416"/>
    <w:rsid w:val="00A425FE"/>
    <w:rsid w:val="00A5243B"/>
    <w:rsid w:val="00A524F3"/>
    <w:rsid w:val="00A5791B"/>
    <w:rsid w:val="00A67083"/>
    <w:rsid w:val="00A7314D"/>
    <w:rsid w:val="00A77409"/>
    <w:rsid w:val="00A8198B"/>
    <w:rsid w:val="00A854B9"/>
    <w:rsid w:val="00A86562"/>
    <w:rsid w:val="00AA0F91"/>
    <w:rsid w:val="00AA2C14"/>
    <w:rsid w:val="00AA7331"/>
    <w:rsid w:val="00AC4DE6"/>
    <w:rsid w:val="00AD6A32"/>
    <w:rsid w:val="00AE003E"/>
    <w:rsid w:val="00AE65D2"/>
    <w:rsid w:val="00AF4D95"/>
    <w:rsid w:val="00B00890"/>
    <w:rsid w:val="00B02A6A"/>
    <w:rsid w:val="00B06921"/>
    <w:rsid w:val="00B23717"/>
    <w:rsid w:val="00B33181"/>
    <w:rsid w:val="00B343DB"/>
    <w:rsid w:val="00B4701B"/>
    <w:rsid w:val="00B53D4B"/>
    <w:rsid w:val="00B607BA"/>
    <w:rsid w:val="00B67CB1"/>
    <w:rsid w:val="00B73A24"/>
    <w:rsid w:val="00B76BCA"/>
    <w:rsid w:val="00B8326D"/>
    <w:rsid w:val="00B85867"/>
    <w:rsid w:val="00B85AA6"/>
    <w:rsid w:val="00B90A66"/>
    <w:rsid w:val="00B91B61"/>
    <w:rsid w:val="00B964F5"/>
    <w:rsid w:val="00BA3765"/>
    <w:rsid w:val="00BA5831"/>
    <w:rsid w:val="00BB0EC6"/>
    <w:rsid w:val="00BC05C7"/>
    <w:rsid w:val="00BD16CC"/>
    <w:rsid w:val="00BE6B40"/>
    <w:rsid w:val="00BF2CD9"/>
    <w:rsid w:val="00C125DD"/>
    <w:rsid w:val="00C12F42"/>
    <w:rsid w:val="00C20851"/>
    <w:rsid w:val="00C25845"/>
    <w:rsid w:val="00C35AB4"/>
    <w:rsid w:val="00C42ADE"/>
    <w:rsid w:val="00C47B13"/>
    <w:rsid w:val="00C533EB"/>
    <w:rsid w:val="00C55ACE"/>
    <w:rsid w:val="00C60063"/>
    <w:rsid w:val="00C678EE"/>
    <w:rsid w:val="00C72059"/>
    <w:rsid w:val="00C73103"/>
    <w:rsid w:val="00C9365A"/>
    <w:rsid w:val="00CA5780"/>
    <w:rsid w:val="00CA5F53"/>
    <w:rsid w:val="00CD756D"/>
    <w:rsid w:val="00CE7051"/>
    <w:rsid w:val="00CF03FD"/>
    <w:rsid w:val="00CF3700"/>
    <w:rsid w:val="00D23BC0"/>
    <w:rsid w:val="00D3452E"/>
    <w:rsid w:val="00D352BC"/>
    <w:rsid w:val="00D455B9"/>
    <w:rsid w:val="00D47A23"/>
    <w:rsid w:val="00D518CC"/>
    <w:rsid w:val="00D52609"/>
    <w:rsid w:val="00D60E36"/>
    <w:rsid w:val="00D75001"/>
    <w:rsid w:val="00D76B1A"/>
    <w:rsid w:val="00D846AD"/>
    <w:rsid w:val="00D93D94"/>
    <w:rsid w:val="00D957A1"/>
    <w:rsid w:val="00D976CD"/>
    <w:rsid w:val="00DA1291"/>
    <w:rsid w:val="00DA2154"/>
    <w:rsid w:val="00DA573D"/>
    <w:rsid w:val="00DD5580"/>
    <w:rsid w:val="00DD70F9"/>
    <w:rsid w:val="00DE6444"/>
    <w:rsid w:val="00DE6861"/>
    <w:rsid w:val="00DF0CEC"/>
    <w:rsid w:val="00DF127C"/>
    <w:rsid w:val="00E13C57"/>
    <w:rsid w:val="00E13F7E"/>
    <w:rsid w:val="00E3239C"/>
    <w:rsid w:val="00E35B99"/>
    <w:rsid w:val="00E40E7D"/>
    <w:rsid w:val="00E420AC"/>
    <w:rsid w:val="00E424A7"/>
    <w:rsid w:val="00E43804"/>
    <w:rsid w:val="00E4437F"/>
    <w:rsid w:val="00E66486"/>
    <w:rsid w:val="00E869FE"/>
    <w:rsid w:val="00E86D7E"/>
    <w:rsid w:val="00EA0E7E"/>
    <w:rsid w:val="00EB2531"/>
    <w:rsid w:val="00EB4375"/>
    <w:rsid w:val="00EC0CA6"/>
    <w:rsid w:val="00ED1F99"/>
    <w:rsid w:val="00ED621B"/>
    <w:rsid w:val="00EF6BFB"/>
    <w:rsid w:val="00F053AF"/>
    <w:rsid w:val="00F36146"/>
    <w:rsid w:val="00F37381"/>
    <w:rsid w:val="00F42A51"/>
    <w:rsid w:val="00F463C4"/>
    <w:rsid w:val="00F52F86"/>
    <w:rsid w:val="00F57710"/>
    <w:rsid w:val="00F64035"/>
    <w:rsid w:val="00F653A1"/>
    <w:rsid w:val="00F65CA0"/>
    <w:rsid w:val="00F736E5"/>
    <w:rsid w:val="00F75095"/>
    <w:rsid w:val="00F86210"/>
    <w:rsid w:val="00F867F9"/>
    <w:rsid w:val="00F92780"/>
    <w:rsid w:val="00F967FD"/>
    <w:rsid w:val="00FA0087"/>
    <w:rsid w:val="00FA1C24"/>
    <w:rsid w:val="00FA2D40"/>
    <w:rsid w:val="00FA6454"/>
    <w:rsid w:val="00FC145D"/>
    <w:rsid w:val="00FD1C1C"/>
    <w:rsid w:val="00FD6D39"/>
    <w:rsid w:val="00FD6D4F"/>
    <w:rsid w:val="00FF03B0"/>
    <w:rsid w:val="00FF6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F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27964"/>
    <w:pPr>
      <w:ind w:left="720"/>
      <w:contextualSpacing/>
    </w:pPr>
  </w:style>
  <w:style w:type="paragraph" w:styleId="FootnoteText">
    <w:name w:val="footnote text"/>
    <w:basedOn w:val="Normal"/>
    <w:link w:val="FootnoteTextChar"/>
    <w:uiPriority w:val="99"/>
    <w:unhideWhenUsed/>
    <w:rsid w:val="00727964"/>
    <w:pPr>
      <w:spacing w:after="0" w:line="240" w:lineRule="auto"/>
    </w:pPr>
    <w:rPr>
      <w:sz w:val="20"/>
      <w:szCs w:val="20"/>
    </w:rPr>
  </w:style>
  <w:style w:type="character" w:customStyle="1" w:styleId="FootnoteTextChar">
    <w:name w:val="Footnote Text Char"/>
    <w:basedOn w:val="DefaultParagraphFont"/>
    <w:link w:val="FootnoteText"/>
    <w:uiPriority w:val="99"/>
    <w:rsid w:val="00727964"/>
    <w:rPr>
      <w:sz w:val="20"/>
      <w:szCs w:val="20"/>
    </w:rPr>
  </w:style>
  <w:style w:type="character" w:styleId="FootnoteReference">
    <w:name w:val="footnote reference"/>
    <w:basedOn w:val="DefaultParagraphFont"/>
    <w:uiPriority w:val="99"/>
    <w:semiHidden/>
    <w:unhideWhenUsed/>
    <w:rsid w:val="00727964"/>
    <w:rPr>
      <w:vertAlign w:val="superscript"/>
    </w:rPr>
  </w:style>
  <w:style w:type="table" w:styleId="TableGrid">
    <w:name w:val="Table Grid"/>
    <w:basedOn w:val="TableNormal"/>
    <w:uiPriority w:val="59"/>
    <w:rsid w:val="0072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64"/>
    <w:rPr>
      <w:rFonts w:ascii="Tahoma" w:hAnsi="Tahoma" w:cs="Tahoma"/>
      <w:sz w:val="16"/>
      <w:szCs w:val="16"/>
    </w:rPr>
  </w:style>
  <w:style w:type="character" w:styleId="CommentReference">
    <w:name w:val="annotation reference"/>
    <w:basedOn w:val="DefaultParagraphFont"/>
    <w:uiPriority w:val="99"/>
    <w:semiHidden/>
    <w:unhideWhenUsed/>
    <w:rsid w:val="00E13C57"/>
    <w:rPr>
      <w:sz w:val="16"/>
      <w:szCs w:val="16"/>
    </w:rPr>
  </w:style>
  <w:style w:type="paragraph" w:styleId="CommentText">
    <w:name w:val="annotation text"/>
    <w:basedOn w:val="Normal"/>
    <w:link w:val="CommentTextChar"/>
    <w:uiPriority w:val="99"/>
    <w:unhideWhenUsed/>
    <w:rsid w:val="00E13C57"/>
    <w:pPr>
      <w:spacing w:line="240" w:lineRule="auto"/>
    </w:pPr>
    <w:rPr>
      <w:sz w:val="20"/>
      <w:szCs w:val="20"/>
    </w:rPr>
  </w:style>
  <w:style w:type="character" w:customStyle="1" w:styleId="CommentTextChar">
    <w:name w:val="Comment Text Char"/>
    <w:basedOn w:val="DefaultParagraphFont"/>
    <w:link w:val="CommentText"/>
    <w:uiPriority w:val="99"/>
    <w:rsid w:val="00E13C5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F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27964"/>
    <w:pPr>
      <w:ind w:left="720"/>
      <w:contextualSpacing/>
    </w:pPr>
  </w:style>
  <w:style w:type="paragraph" w:styleId="FootnoteText">
    <w:name w:val="footnote text"/>
    <w:basedOn w:val="Normal"/>
    <w:link w:val="FootnoteTextChar"/>
    <w:uiPriority w:val="99"/>
    <w:unhideWhenUsed/>
    <w:rsid w:val="00727964"/>
    <w:pPr>
      <w:spacing w:after="0" w:line="240" w:lineRule="auto"/>
    </w:pPr>
    <w:rPr>
      <w:sz w:val="20"/>
      <w:szCs w:val="20"/>
    </w:rPr>
  </w:style>
  <w:style w:type="character" w:customStyle="1" w:styleId="FootnoteTextChar">
    <w:name w:val="Footnote Text Char"/>
    <w:basedOn w:val="DefaultParagraphFont"/>
    <w:link w:val="FootnoteText"/>
    <w:uiPriority w:val="99"/>
    <w:rsid w:val="00727964"/>
    <w:rPr>
      <w:sz w:val="20"/>
      <w:szCs w:val="20"/>
    </w:rPr>
  </w:style>
  <w:style w:type="character" w:styleId="FootnoteReference">
    <w:name w:val="footnote reference"/>
    <w:basedOn w:val="DefaultParagraphFont"/>
    <w:uiPriority w:val="99"/>
    <w:semiHidden/>
    <w:unhideWhenUsed/>
    <w:rsid w:val="00727964"/>
    <w:rPr>
      <w:vertAlign w:val="superscript"/>
    </w:rPr>
  </w:style>
  <w:style w:type="table" w:styleId="TableGrid">
    <w:name w:val="Table Grid"/>
    <w:basedOn w:val="TableNormal"/>
    <w:uiPriority w:val="59"/>
    <w:rsid w:val="0072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64"/>
    <w:rPr>
      <w:rFonts w:ascii="Tahoma" w:hAnsi="Tahoma" w:cs="Tahoma"/>
      <w:sz w:val="16"/>
      <w:szCs w:val="16"/>
    </w:rPr>
  </w:style>
  <w:style w:type="character" w:styleId="CommentReference">
    <w:name w:val="annotation reference"/>
    <w:basedOn w:val="DefaultParagraphFont"/>
    <w:uiPriority w:val="99"/>
    <w:semiHidden/>
    <w:unhideWhenUsed/>
    <w:rsid w:val="00E13C57"/>
    <w:rPr>
      <w:sz w:val="16"/>
      <w:szCs w:val="16"/>
    </w:rPr>
  </w:style>
  <w:style w:type="paragraph" w:styleId="CommentText">
    <w:name w:val="annotation text"/>
    <w:basedOn w:val="Normal"/>
    <w:link w:val="CommentTextChar"/>
    <w:uiPriority w:val="99"/>
    <w:unhideWhenUsed/>
    <w:rsid w:val="00E13C57"/>
    <w:pPr>
      <w:spacing w:line="240" w:lineRule="auto"/>
    </w:pPr>
    <w:rPr>
      <w:sz w:val="20"/>
      <w:szCs w:val="20"/>
    </w:rPr>
  </w:style>
  <w:style w:type="character" w:customStyle="1" w:styleId="CommentTextChar">
    <w:name w:val="Comment Text Char"/>
    <w:basedOn w:val="DefaultParagraphFont"/>
    <w:link w:val="CommentText"/>
    <w:uiPriority w:val="99"/>
    <w:rsid w:val="00E13C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7976">
      <w:bodyDiv w:val="1"/>
      <w:marLeft w:val="0"/>
      <w:marRight w:val="0"/>
      <w:marTop w:val="0"/>
      <w:marBottom w:val="0"/>
      <w:divBdr>
        <w:top w:val="none" w:sz="0" w:space="0" w:color="auto"/>
        <w:left w:val="none" w:sz="0" w:space="0" w:color="auto"/>
        <w:bottom w:val="none" w:sz="0" w:space="0" w:color="auto"/>
        <w:right w:val="none" w:sz="0" w:space="0" w:color="auto"/>
      </w:divBdr>
    </w:div>
    <w:div w:id="1085496216">
      <w:bodyDiv w:val="1"/>
      <w:marLeft w:val="0"/>
      <w:marRight w:val="0"/>
      <w:marTop w:val="0"/>
      <w:marBottom w:val="0"/>
      <w:divBdr>
        <w:top w:val="none" w:sz="0" w:space="0" w:color="auto"/>
        <w:left w:val="none" w:sz="0" w:space="0" w:color="auto"/>
        <w:bottom w:val="none" w:sz="0" w:space="0" w:color="auto"/>
        <w:right w:val="none" w:sz="0" w:space="0" w:color="auto"/>
      </w:divBdr>
    </w:div>
    <w:div w:id="1459761474">
      <w:bodyDiv w:val="1"/>
      <w:marLeft w:val="0"/>
      <w:marRight w:val="0"/>
      <w:marTop w:val="0"/>
      <w:marBottom w:val="0"/>
      <w:divBdr>
        <w:top w:val="none" w:sz="0" w:space="0" w:color="auto"/>
        <w:left w:val="none" w:sz="0" w:space="0" w:color="auto"/>
        <w:bottom w:val="none" w:sz="0" w:space="0" w:color="auto"/>
        <w:right w:val="none" w:sz="0" w:space="0" w:color="auto"/>
      </w:divBdr>
    </w:div>
    <w:div w:id="1464691839">
      <w:bodyDiv w:val="1"/>
      <w:marLeft w:val="0"/>
      <w:marRight w:val="0"/>
      <w:marTop w:val="0"/>
      <w:marBottom w:val="0"/>
      <w:divBdr>
        <w:top w:val="none" w:sz="0" w:space="0" w:color="auto"/>
        <w:left w:val="none" w:sz="0" w:space="0" w:color="auto"/>
        <w:bottom w:val="none" w:sz="0" w:space="0" w:color="auto"/>
        <w:right w:val="none" w:sz="0" w:space="0" w:color="auto"/>
      </w:divBdr>
    </w:div>
    <w:div w:id="14994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C439-AB6C-455B-9623-F3794D4C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10486</Words>
  <Characters>59776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Oosten, Sanne van</dc:creator>
  <cp:lastModifiedBy>Oosten, Sanne van</cp:lastModifiedBy>
  <cp:revision>2</cp:revision>
  <dcterms:created xsi:type="dcterms:W3CDTF">2019-01-29T08:59:00Z</dcterms:created>
  <dcterms:modified xsi:type="dcterms:W3CDTF">2019-01-29T08:59:00Z</dcterms:modified>
</cp:coreProperties>
</file>